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EFD0" w14:textId="77777777" w:rsidR="00835B49" w:rsidRPr="00A84162" w:rsidRDefault="003B1471" w:rsidP="00A84162">
      <w:pPr>
        <w:ind w:left="-114" w:right="256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5A5D7" wp14:editId="5468178D">
                <wp:simplePos x="0" y="0"/>
                <wp:positionH relativeFrom="column">
                  <wp:posOffset>5248275</wp:posOffset>
                </wp:positionH>
                <wp:positionV relativeFrom="paragraph">
                  <wp:posOffset>0</wp:posOffset>
                </wp:positionV>
                <wp:extent cx="1085850" cy="342900"/>
                <wp:effectExtent l="1905" t="381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5CED1" w14:textId="77777777" w:rsidR="00A047B2" w:rsidRDefault="00A047B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5A5D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3.25pt;margin-top:0;width:8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" stroked="f">
                <v:textbox>
                  <w:txbxContent>
                    <w:p w14:paraId="7575CED1" w14:textId="77777777" w:rsidR="00A047B2" w:rsidRDefault="00A047B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C4C2C" wp14:editId="47E3068E">
                <wp:simplePos x="0" y="0"/>
                <wp:positionH relativeFrom="column">
                  <wp:posOffset>5393055</wp:posOffset>
                </wp:positionH>
                <wp:positionV relativeFrom="paragraph">
                  <wp:posOffset>-114300</wp:posOffset>
                </wp:positionV>
                <wp:extent cx="1122045" cy="342900"/>
                <wp:effectExtent l="3810" t="381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64B9A" w14:textId="77777777" w:rsidR="00A047B2" w:rsidRDefault="00A047B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4C2C" id="Text Box 7" o:spid="_x0000_s1027" type="#_x0000_t202" style="position:absolute;left:0;text-align:left;margin-left:424.65pt;margin-top:-9pt;width:88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" stroked="f">
                <v:textbox>
                  <w:txbxContent>
                    <w:p w14:paraId="70264B9A" w14:textId="77777777" w:rsidR="00A047B2" w:rsidRDefault="00A047B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F55DE" wp14:editId="0F0E0F27">
                <wp:simplePos x="0" y="0"/>
                <wp:positionH relativeFrom="column">
                  <wp:posOffset>5175885</wp:posOffset>
                </wp:positionH>
                <wp:positionV relativeFrom="paragraph">
                  <wp:posOffset>-114300</wp:posOffset>
                </wp:positionV>
                <wp:extent cx="1122045" cy="342900"/>
                <wp:effectExtent l="0" t="381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6A50" w14:textId="77777777" w:rsidR="00A047B2" w:rsidRDefault="00A047B2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55DE" id="Text Box 6" o:spid="_x0000_s1028" type="#_x0000_t202" style="position:absolute;left:0;text-align:left;margin-left:407.55pt;margin-top:-9pt;width:88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" stroked="f">
                <v:textbox>
                  <w:txbxContent>
                    <w:p w14:paraId="17D56A50" w14:textId="77777777" w:rsidR="00A047B2" w:rsidRDefault="00A047B2">
                      <w:pPr>
                        <w:jc w:val="right"/>
                        <w:rPr>
                          <w:b/>
                          <w:bCs/>
                          <w:sz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B49" w:rsidRPr="00A84162">
        <w:rPr>
          <w:rFonts w:ascii="Arial" w:hAnsi="Arial" w:cs="Arial"/>
          <w:b/>
        </w:rPr>
        <w:t>MMBPIS Report to WMCMH Board</w:t>
      </w:r>
    </w:p>
    <w:p w14:paraId="7033B9C1" w14:textId="4E82F424" w:rsidR="00835B49" w:rsidRPr="001E1DF2" w:rsidRDefault="003E3705" w:rsidP="006D0D2D">
      <w:pPr>
        <w:ind w:left="-114" w:right="2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4th</w:t>
      </w:r>
      <w:r w:rsidR="007025BB">
        <w:rPr>
          <w:rFonts w:ascii="Arial" w:hAnsi="Arial" w:cs="Arial"/>
          <w:b/>
          <w:bCs/>
        </w:rPr>
        <w:t xml:space="preserve"> </w:t>
      </w:r>
      <w:r w:rsidR="00835B49" w:rsidRPr="001E1DF2">
        <w:rPr>
          <w:rFonts w:ascii="Arial" w:hAnsi="Arial" w:cs="Arial"/>
          <w:b/>
          <w:bCs/>
        </w:rPr>
        <w:t xml:space="preserve">Quarter </w:t>
      </w:r>
      <w:r w:rsidR="00610803">
        <w:rPr>
          <w:rFonts w:ascii="Arial" w:hAnsi="Arial" w:cs="Arial"/>
          <w:b/>
          <w:bCs/>
        </w:rPr>
        <w:t xml:space="preserve">FY </w:t>
      </w:r>
      <w:r w:rsidR="00835B49" w:rsidRPr="001E1DF2">
        <w:rPr>
          <w:rFonts w:ascii="Arial" w:hAnsi="Arial" w:cs="Arial"/>
          <w:b/>
          <w:bCs/>
        </w:rPr>
        <w:t>20</w:t>
      </w:r>
      <w:r w:rsidR="00C12360">
        <w:rPr>
          <w:rFonts w:ascii="Arial" w:hAnsi="Arial" w:cs="Arial"/>
          <w:b/>
          <w:bCs/>
        </w:rPr>
        <w:t>2</w:t>
      </w:r>
      <w:r w:rsidR="00D33175">
        <w:rPr>
          <w:rFonts w:ascii="Arial" w:hAnsi="Arial" w:cs="Arial"/>
          <w:b/>
          <w:bCs/>
        </w:rPr>
        <w:t>4</w:t>
      </w:r>
      <w:r w:rsidR="00835B49" w:rsidRPr="001E1DF2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July</w:t>
      </w:r>
      <w:r w:rsidR="0097572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September</w:t>
      </w:r>
      <w:r w:rsidR="00220562">
        <w:rPr>
          <w:rFonts w:ascii="Arial" w:hAnsi="Arial" w:cs="Arial"/>
          <w:b/>
          <w:bCs/>
        </w:rPr>
        <w:t xml:space="preserve"> </w:t>
      </w:r>
      <w:r w:rsidR="00DF7D50">
        <w:rPr>
          <w:rFonts w:ascii="Arial" w:hAnsi="Arial" w:cs="Arial"/>
          <w:b/>
          <w:bCs/>
        </w:rPr>
        <w:t>202</w:t>
      </w:r>
      <w:r w:rsidR="00083945">
        <w:rPr>
          <w:rFonts w:ascii="Arial" w:hAnsi="Arial" w:cs="Arial"/>
          <w:b/>
          <w:bCs/>
        </w:rPr>
        <w:t>4</w:t>
      </w:r>
      <w:r w:rsidR="00835B49" w:rsidRPr="001E1DF2">
        <w:rPr>
          <w:rFonts w:ascii="Arial" w:hAnsi="Arial" w:cs="Arial"/>
          <w:b/>
          <w:bCs/>
        </w:rPr>
        <w:t>)</w:t>
      </w:r>
    </w:p>
    <w:p w14:paraId="0B6A0DFD" w14:textId="237FD9E3" w:rsidR="00835B49" w:rsidRPr="006A6A6B" w:rsidRDefault="003E3705" w:rsidP="00A84162">
      <w:pPr>
        <w:ind w:left="-114" w:right="2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</w:t>
      </w:r>
      <w:r w:rsidR="007F64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="0097572A">
        <w:rPr>
          <w:rFonts w:ascii="Arial" w:hAnsi="Arial" w:cs="Arial"/>
          <w:b/>
          <w:bCs/>
        </w:rPr>
        <w:t>, 202</w:t>
      </w:r>
      <w:r w:rsidR="009367BB">
        <w:rPr>
          <w:rFonts w:ascii="Arial" w:hAnsi="Arial" w:cs="Arial"/>
          <w:b/>
          <w:bCs/>
        </w:rPr>
        <w:t>5</w:t>
      </w:r>
    </w:p>
    <w:p w14:paraId="7EA75389" w14:textId="77777777" w:rsidR="000D3EF8" w:rsidRPr="00A84162" w:rsidRDefault="000D3EF8" w:rsidP="006D0D2D">
      <w:pPr>
        <w:ind w:left="-114" w:right="256"/>
        <w:rPr>
          <w:rFonts w:ascii="Arial Narrow" w:hAnsi="Arial Narrow" w:cstheme="minorHAnsi"/>
          <w:b/>
          <w:bCs/>
          <w:sz w:val="12"/>
        </w:rPr>
      </w:pPr>
    </w:p>
    <w:p w14:paraId="743CAA8C" w14:textId="36F3ACCB" w:rsidR="00835B49" w:rsidRPr="002C18AD" w:rsidRDefault="00835B49" w:rsidP="006D0D2D">
      <w:pPr>
        <w:pStyle w:val="BodyText2"/>
        <w:ind w:left="-114" w:right="256"/>
        <w:rPr>
          <w:rFonts w:ascii="Arial Narrow" w:hAnsi="Arial Narrow" w:cstheme="minorHAnsi"/>
        </w:rPr>
      </w:pPr>
      <w:r w:rsidRPr="002C18AD">
        <w:rPr>
          <w:rFonts w:ascii="Arial Narrow" w:hAnsi="Arial Narrow" w:cstheme="minorHAnsi"/>
        </w:rPr>
        <w:t xml:space="preserve">On a quarterly basis, all Community Mental Health Service Providers (CMHSPs) compile data and report to Michigan Department of </w:t>
      </w:r>
      <w:r w:rsidR="0012414A">
        <w:rPr>
          <w:rFonts w:ascii="Arial Narrow" w:hAnsi="Arial Narrow" w:cstheme="minorHAnsi"/>
        </w:rPr>
        <w:t>Health and Human Services (MDHHS)</w:t>
      </w:r>
      <w:r w:rsidRPr="002C18AD">
        <w:rPr>
          <w:rFonts w:ascii="Arial Narrow" w:hAnsi="Arial Narrow" w:cstheme="minorHAnsi"/>
        </w:rPr>
        <w:t xml:space="preserve"> on a number of performance indicators, compliance indicators, and monitoring measures.  Below is a summary of WMCMH performance on </w:t>
      </w:r>
      <w:r w:rsidR="002267A7">
        <w:rPr>
          <w:rFonts w:ascii="Arial Narrow" w:hAnsi="Arial Narrow" w:cstheme="minorHAnsi"/>
        </w:rPr>
        <w:t>6</w:t>
      </w:r>
      <w:r w:rsidRPr="002C18AD">
        <w:rPr>
          <w:rFonts w:ascii="Arial Narrow" w:hAnsi="Arial Narrow" w:cstheme="minorHAnsi"/>
        </w:rPr>
        <w:t xml:space="preserve"> of these indicators.</w:t>
      </w:r>
    </w:p>
    <w:p w14:paraId="5667BFC2" w14:textId="65AD549A" w:rsidR="00835B49" w:rsidRPr="00A84162" w:rsidRDefault="00835B49" w:rsidP="006D0D2D">
      <w:pPr>
        <w:ind w:right="256"/>
        <w:rPr>
          <w:rFonts w:ascii="Arial Narrow" w:hAnsi="Arial Narrow" w:cstheme="minorHAnsi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835B49" w:rsidRPr="002C18AD" w14:paraId="24B6925F" w14:textId="77777777" w:rsidTr="00472F09">
        <w:trPr>
          <w:trHeight w:val="6047"/>
        </w:trPr>
        <w:tc>
          <w:tcPr>
            <w:tcW w:w="10790" w:type="dxa"/>
          </w:tcPr>
          <w:p w14:paraId="65345BE7" w14:textId="5DB87E21" w:rsidR="00DA64D7" w:rsidRPr="00DA64D7" w:rsidRDefault="00472F09" w:rsidP="0095071C">
            <w:pPr>
              <w:ind w:right="256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09CB9188" wp14:editId="55413851">
                  <wp:simplePos x="0" y="0"/>
                  <wp:positionH relativeFrom="column">
                    <wp:posOffset>3033642</wp:posOffset>
                  </wp:positionH>
                  <wp:positionV relativeFrom="paragraph">
                    <wp:posOffset>17260</wp:posOffset>
                  </wp:positionV>
                  <wp:extent cx="3752603" cy="2333502"/>
                  <wp:effectExtent l="0" t="0" r="635" b="0"/>
                  <wp:wrapNone/>
                  <wp:docPr id="1610453545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354B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090597F" wp14:editId="20033B6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635</wp:posOffset>
                  </wp:positionV>
                  <wp:extent cx="3088640" cy="2324100"/>
                  <wp:effectExtent l="0" t="0" r="0" b="0"/>
                  <wp:wrapThrough wrapText="bothSides">
                    <wp:wrapPolygon edited="0">
                      <wp:start x="0" y="0"/>
                      <wp:lineTo x="0" y="21423"/>
                      <wp:lineTo x="21449" y="21423"/>
                      <wp:lineTo x="21449" y="0"/>
                      <wp:lineTo x="0" y="0"/>
                    </wp:wrapPolygon>
                  </wp:wrapThrough>
                  <wp:docPr id="195859819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CA7E60-7E46-47C4-923E-3D4B04EAB6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37A3">
              <w:rPr>
                <w:rFonts w:ascii="Arial Narrow" w:hAnsi="Arial Narrow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615B6C" wp14:editId="01DA96AF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2336165</wp:posOffset>
                      </wp:positionV>
                      <wp:extent cx="6743700" cy="14732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30DCD" w14:textId="12006762" w:rsidR="00007DA3" w:rsidRPr="00E41713" w:rsidRDefault="004A5946" w:rsidP="00007DA3">
                                  <w:pPr>
                                    <w:pStyle w:val="BodyText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Cs w:val="20"/>
                                    </w:rPr>
                                  </w:pPr>
                                  <w:r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Chart 2.1 shows that f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or </w:t>
                                  </w:r>
                                  <w:r w:rsidR="002B0F9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4th</w:t>
                                  </w:r>
                                  <w:r w:rsidR="00DF7D50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3D00EE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Quarter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, </w:t>
                                  </w:r>
                                  <w:r w:rsidR="007F647E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</w:t>
                                  </w:r>
                                  <w:r w:rsidR="002B0F9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3</w:t>
                                  </w:r>
                                  <w:r w:rsidR="00FB29F8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%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of individuals who requested services and were referred </w:t>
                                  </w:r>
                                  <w:r w:rsidR="00563196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for 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an assessment were assessed within 14 days of request.  </w:t>
                                  </w:r>
                                  <w:r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Chart 2.2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shows the </w:t>
                                  </w:r>
                                  <w:r w:rsidR="004B730F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reasons 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consumers </w:t>
                                  </w:r>
                                  <w:r w:rsidR="004B730F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were </w:t>
                                  </w:r>
                                  <w:r w:rsidR="00E3385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not assessed within 14 days. </w:t>
                                  </w:r>
                                  <w:r w:rsidR="00C22EFF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MDHHS has set a low target o</w:t>
                                  </w:r>
                                  <w:r w:rsidR="00357A57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f</w:t>
                                  </w:r>
                                  <w:r w:rsidR="00C22EFF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56.39% and a high target of 62.08%.  </w:t>
                                  </w:r>
                                  <w:r w:rsidR="006C551A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In </w:t>
                                  </w:r>
                                  <w:r w:rsidR="002B0F9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4th</w:t>
                                  </w:r>
                                  <w:r w:rsidR="007025BB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6C551A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Quarter, </w:t>
                                  </w:r>
                                  <w:r w:rsidR="00A0530C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performance 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continue</w:t>
                                  </w:r>
                                  <w:r w:rsidR="003B07D4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s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to be </w:t>
                                  </w:r>
                                  <w:r w:rsidR="00A0530C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below </w:t>
                                  </w:r>
                                  <w:r w:rsidR="00C22EFF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the low </w:t>
                                  </w:r>
                                  <w:r w:rsidR="00A0530C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target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.  Most common reasons for noncompliance included</w:t>
                                  </w:r>
                                  <w:r w:rsidR="00A0530C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B772FD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consumer choice, cancellation, no shows, and a </w:t>
                                  </w:r>
                                  <w:r w:rsidR="00FB4F23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relatively </w:t>
                                  </w:r>
                                  <w:r w:rsidR="00B772FD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high number of 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incidents in which staff did not record the reasons why appointments were scheduled outside 14 days (these are coded as staff errors or systems issues)</w:t>
                                  </w:r>
                                  <w:r w:rsidR="00524B7C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.  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Previous plans of correction have included training staff to standards and procedures to meet standard, however these efforts have not been successful as Q</w:t>
                                  </w:r>
                                  <w:r w:rsidR="002B0F9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is now the </w:t>
                                  </w:r>
                                  <w:r w:rsidR="00EB37A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f</w:t>
                                  </w:r>
                                  <w:r w:rsidR="002B0F92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ifth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consecutive quarter below standard.  </w:t>
                                  </w:r>
                                  <w:r w:rsidR="00FB4F23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In January, the Access team implemented substantial changes to our intake model in hopes to dramatically improve timeliness.  </w:t>
                                  </w:r>
                                  <w:r w:rsidR="00E41713" w:rsidRPr="002B0F92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15B6C" id="Text Box 2" o:spid="_x0000_s1029" type="#_x0000_t202" style="position:absolute;margin-left:.85pt;margin-top:183.95pt;width:531pt;height:11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" stroked="f">
                      <v:textbox>
                        <w:txbxContent>
                          <w:p w14:paraId="7A130DCD" w14:textId="12006762" w:rsidR="00007DA3" w:rsidRPr="00E41713" w:rsidRDefault="004A5946" w:rsidP="00007DA3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</w:pPr>
                            <w:r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Chart 2.1 shows that f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or </w:t>
                            </w:r>
                            <w:r w:rsidR="002B0F9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4th</w:t>
                            </w:r>
                            <w:r w:rsidR="00DF7D50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3D00EE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Quarter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, </w:t>
                            </w:r>
                            <w:r w:rsidR="007F647E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</w:t>
                            </w:r>
                            <w:r w:rsidR="002B0F9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3</w:t>
                            </w:r>
                            <w:r w:rsidR="00FB29F8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%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of individuals who requested services and were referred </w:t>
                            </w:r>
                            <w:r w:rsidR="00563196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for 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an assessment were assessed within 14 days of request.  </w:t>
                            </w:r>
                            <w:r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Chart 2.2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shows the </w:t>
                            </w:r>
                            <w:r w:rsidR="004B730F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reasons 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consumers </w:t>
                            </w:r>
                            <w:r w:rsidR="004B730F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were </w:t>
                            </w:r>
                            <w:r w:rsidR="00E3385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not assessed within 14 days. </w:t>
                            </w:r>
                            <w:r w:rsidR="00C22EFF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MDHHS has set a low target o</w:t>
                            </w:r>
                            <w:r w:rsidR="00357A57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f</w:t>
                            </w:r>
                            <w:r w:rsidR="00C22EFF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56.39% and a high target of 62.08%.  </w:t>
                            </w:r>
                            <w:r w:rsidR="006C551A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In </w:t>
                            </w:r>
                            <w:r w:rsidR="002B0F9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4th</w:t>
                            </w:r>
                            <w:r w:rsidR="007025BB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6C551A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Quarter, </w:t>
                            </w:r>
                            <w:r w:rsidR="00A0530C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performance 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continue</w:t>
                            </w:r>
                            <w:r w:rsidR="003B07D4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s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to be </w:t>
                            </w:r>
                            <w:r w:rsidR="00A0530C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below </w:t>
                            </w:r>
                            <w:r w:rsidR="00C22EFF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the low </w:t>
                            </w:r>
                            <w:r w:rsidR="00A0530C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target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.  Most common reasons for noncompliance included</w:t>
                            </w:r>
                            <w:r w:rsidR="00A0530C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B772FD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consumer choice, cancellation, no shows, and a </w:t>
                            </w:r>
                            <w:r w:rsidR="00FB4F23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relatively </w:t>
                            </w:r>
                            <w:r w:rsidR="00B772FD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high number of 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incidents in which staff did not record the reasons why appointments were scheduled outside 14 days (these are coded as staff errors or systems issues)</w:t>
                            </w:r>
                            <w:r w:rsidR="00524B7C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.  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Previous plans of correction have included training staff to standards and procedures to meet standard, however these efforts have not been successful as Q</w:t>
                            </w:r>
                            <w:r w:rsidR="002B0F9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is now the </w:t>
                            </w:r>
                            <w:r w:rsidR="00EB37A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f</w:t>
                            </w:r>
                            <w:r w:rsidR="002B0F92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ifth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consecutive quarter below standard.  </w:t>
                            </w:r>
                            <w:r w:rsidR="00FB4F23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In January, the Access team implemented substantial changes to our intake model in hopes to dramatically improve timeliness.  </w:t>
                            </w:r>
                            <w:r w:rsidR="00E41713" w:rsidRPr="002B0F92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57E">
              <w:rPr>
                <w:noProof/>
              </w:rPr>
              <w:t xml:space="preserve"> </w:t>
            </w:r>
            <w:r w:rsidR="0098146D">
              <w:rPr>
                <w:noProof/>
              </w:rPr>
              <w:t xml:space="preserve">     </w:t>
            </w:r>
            <w:r w:rsidR="0098146D" w:rsidRPr="00011BBF">
              <w:rPr>
                <w:noProof/>
                <w:sz w:val="28"/>
                <w:szCs w:val="28"/>
              </w:rPr>
              <w:t xml:space="preserve">        </w:t>
            </w:r>
            <w:r w:rsidR="00EC5216" w:rsidRPr="00011BBF">
              <w:rPr>
                <w:noProof/>
                <w:sz w:val="28"/>
                <w:szCs w:val="28"/>
              </w:rPr>
              <w:t xml:space="preserve"> </w:t>
            </w:r>
            <w:r w:rsidR="0098146D" w:rsidRPr="00011BBF">
              <w:rPr>
                <w:noProof/>
                <w:sz w:val="28"/>
                <w:szCs w:val="28"/>
              </w:rPr>
              <w:t xml:space="preserve">                         </w:t>
            </w:r>
          </w:p>
        </w:tc>
      </w:tr>
      <w:tr w:rsidR="00835B49" w:rsidRPr="002C18AD" w14:paraId="501FFCD1" w14:textId="77777777" w:rsidTr="00316AFB">
        <w:trPr>
          <w:trHeight w:val="58"/>
        </w:trPr>
        <w:tc>
          <w:tcPr>
            <w:tcW w:w="10790" w:type="dxa"/>
          </w:tcPr>
          <w:p w14:paraId="0401B240" w14:textId="5F8A1864" w:rsidR="0048112B" w:rsidRPr="00AF3477" w:rsidRDefault="00285CA7" w:rsidP="00982374">
            <w:pPr>
              <w:ind w:right="256"/>
              <w:rPr>
                <w:rFonts w:ascii="Arial Narrow" w:hAnsi="Arial Narrow" w:cstheme="minorHAnsi"/>
                <w:sz w:val="1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hAnsi="Arial Narrow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39E296" wp14:editId="4748EF79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2470785</wp:posOffset>
                      </wp:positionV>
                      <wp:extent cx="6838950" cy="122872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433"/>
                          <wp:lineTo x="21540" y="21433"/>
                          <wp:lineTo x="21540" y="0"/>
                          <wp:lineTo x="0" y="0"/>
                        </wp:wrapPolygon>
                      </wp:wrapThrough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489F99" w14:textId="6D4A5C76" w:rsidR="0082023D" w:rsidRPr="00285CA7" w:rsidRDefault="001C2E75" w:rsidP="0082023D">
                                  <w:pPr>
                                    <w:pStyle w:val="BodyText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Chart 3.1 shows that f</w:t>
                                  </w:r>
                                  <w:r w:rsidR="0082023D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or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4th</w:t>
                                  </w:r>
                                  <w:r w:rsidR="00FA230E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3D00EE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Quarter</w:t>
                                  </w:r>
                                  <w:r w:rsidR="0082023D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, </w:t>
                                  </w:r>
                                  <w:r w:rsidR="00126732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7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2</w:t>
                                  </w:r>
                                  <w:r w:rsidR="0007449A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% of</w:t>
                                  </w:r>
                                  <w:r w:rsidR="0082023D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individuals who were referred to ongoing care started ongoing care within 14 days of assessment.  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Chart 3.2 </w:t>
                                  </w:r>
                                  <w:r w:rsidR="0082023D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shows the percentage of consumers who didn’t start care within 14 days, by reason.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 </w:t>
                                  </w:r>
                                  <w:bookmarkStart w:id="0" w:name="_Hlk116389969"/>
                                  <w:r w:rsidR="00C22EFF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MDHHS has set a low target of 72.85% and a high target of 84.66%.  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In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4th</w:t>
                                  </w:r>
                                  <w:r w:rsidR="00FA230E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3D00EE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Quarter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, there </w:t>
                                  </w:r>
                                  <w:r w:rsidR="00DF7D50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were</w:t>
                                  </w:r>
                                  <w:r w:rsidR="00C12360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11</w:t>
                                  </w:r>
                                  <w:r w:rsidR="00364C04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client no show, cancellations, or rescheduled appointments 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that resulted in delayed</w:t>
                                  </w:r>
                                  <w:r w:rsidR="00563196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start of care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.</w:t>
                                  </w:r>
                                  <w:bookmarkEnd w:id="0"/>
                                  <w:r w:rsidR="00C22EFF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 </w:t>
                                  </w:r>
                                  <w:r w:rsidR="00E4171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Previous plans of correction have included training staff to standards and procedures to meet standard, however these efforts have not been</w:t>
                                  </w:r>
                                  <w:r w:rsid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completely</w:t>
                                  </w:r>
                                  <w:r w:rsidR="00E4171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successful as Q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</w:t>
                                  </w:r>
                                  <w:r w:rsidR="00E4171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is now the </w:t>
                                  </w:r>
                                  <w:r w:rsidR="00EB37A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f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ifth</w:t>
                                  </w:r>
                                  <w:r w:rsidR="00E4171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consecutive quarter below standard</w:t>
                                  </w:r>
                                  <w:r w:rsid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, but we are just shy of meeting the low target</w:t>
                                  </w:r>
                                  <w:r w:rsidR="00E4171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.  </w:t>
                                  </w:r>
                                  <w:r w:rsidR="00EB37A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The Quality, Access, and Support Teams </w:t>
                                  </w:r>
                                  <w:r w:rsid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will continue to</w:t>
                                  </w:r>
                                  <w:r w:rsidR="00EB37A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work together to develop new strateg</w:t>
                                  </w:r>
                                  <w:r w:rsid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ies</w:t>
                                  </w:r>
                                  <w:r w:rsidR="00EB37A3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to impact performance.  </w:t>
                                  </w:r>
                                </w:p>
                                <w:p w14:paraId="451F919D" w14:textId="77777777" w:rsidR="0082023D" w:rsidRPr="00E41713" w:rsidRDefault="0082023D" w:rsidP="0082023D">
                                  <w:pPr>
                                    <w:pStyle w:val="BodyText"/>
                                    <w:rPr>
                                      <w:rFonts w:ascii="Arial Narrow" w:hAnsi="Arial Narrow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9E296" id="Text Box 3" o:spid="_x0000_s1030" type="#_x0000_t202" style="position:absolute;margin-left:-5.15pt;margin-top:194.55pt;width:538.5pt;height:9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" stroked="f">
                      <v:textbox>
                        <w:txbxContent>
                          <w:p w14:paraId="68489F99" w14:textId="6D4A5C76" w:rsidR="0082023D" w:rsidRPr="00285CA7" w:rsidRDefault="001C2E75" w:rsidP="0082023D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color w:val="FF0000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Chart 3.1 shows that f</w:t>
                            </w:r>
                            <w:r w:rsidR="0082023D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or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4th</w:t>
                            </w:r>
                            <w:r w:rsidR="00FA230E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3D00EE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Quarter</w:t>
                            </w:r>
                            <w:r w:rsidR="0082023D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, </w:t>
                            </w:r>
                            <w:r w:rsidR="00126732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7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2</w:t>
                            </w:r>
                            <w:r w:rsidR="0007449A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% of</w:t>
                            </w:r>
                            <w:r w:rsidR="0082023D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individuals who were referred to ongoing care started ongoing care within 14 days of assessment.  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Chart 3.2 </w:t>
                            </w:r>
                            <w:r w:rsidR="0082023D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shows the percentage of consumers who didn’t start care within 14 days, by reason.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 </w:t>
                            </w:r>
                            <w:bookmarkStart w:id="1" w:name="_Hlk116389969"/>
                            <w:r w:rsidR="00C22EFF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MDHHS has set a low target of 72.85% and a high target of 84.66%.  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In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4th</w:t>
                            </w:r>
                            <w:r w:rsidR="00FA230E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3D00EE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Quarter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, there </w:t>
                            </w:r>
                            <w:r w:rsidR="00DF7D50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were</w:t>
                            </w:r>
                            <w:r w:rsidR="00C12360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11</w:t>
                            </w:r>
                            <w:r w:rsidR="00364C04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client no show, cancellations, or rescheduled appointments 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that resulted in delayed</w:t>
                            </w:r>
                            <w:r w:rsidR="00563196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start of care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.</w:t>
                            </w:r>
                            <w:bookmarkEnd w:id="1"/>
                            <w:r w:rsidR="00C22EFF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 </w:t>
                            </w:r>
                            <w:r w:rsidR="00E4171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Previous plans of correction have included training staff to standards and procedures to meet standard, however these efforts have not been</w:t>
                            </w:r>
                            <w:r w:rsid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completely</w:t>
                            </w:r>
                            <w:r w:rsidR="00E4171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successful as Q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</w:t>
                            </w:r>
                            <w:r w:rsidR="00E4171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is now the </w:t>
                            </w:r>
                            <w:r w:rsidR="00EB37A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f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ifth</w:t>
                            </w:r>
                            <w:r w:rsidR="00E4171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consecutive quarter below standard</w:t>
                            </w:r>
                            <w:r w:rsid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, but we are just shy of meeting the low target</w:t>
                            </w:r>
                            <w:r w:rsidR="00E4171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.  </w:t>
                            </w:r>
                            <w:r w:rsidR="00EB37A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The Quality, Access, and Support Teams </w:t>
                            </w:r>
                            <w:r w:rsid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will continue to</w:t>
                            </w:r>
                            <w:r w:rsidR="00EB37A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work together to develop new strateg</w:t>
                            </w:r>
                            <w:r w:rsid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ies</w:t>
                            </w:r>
                            <w:r w:rsidR="00EB37A3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to impact performance.  </w:t>
                            </w:r>
                          </w:p>
                          <w:p w14:paraId="451F919D" w14:textId="77777777" w:rsidR="0082023D" w:rsidRPr="00E41713" w:rsidRDefault="0082023D" w:rsidP="0082023D">
                            <w:pPr>
                              <w:pStyle w:val="BodyText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 w:rsidR="00316AFB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FD36509" wp14:editId="5442055B">
                  <wp:simplePos x="0" y="0"/>
                  <wp:positionH relativeFrom="column">
                    <wp:posOffset>3081655</wp:posOffset>
                  </wp:positionH>
                  <wp:positionV relativeFrom="paragraph">
                    <wp:posOffset>2540</wp:posOffset>
                  </wp:positionV>
                  <wp:extent cx="3698240" cy="2446020"/>
                  <wp:effectExtent l="0" t="0" r="0" b="0"/>
                  <wp:wrapThrough wrapText="bothSides">
                    <wp:wrapPolygon edited="0">
                      <wp:start x="0" y="0"/>
                      <wp:lineTo x="0" y="21364"/>
                      <wp:lineTo x="21474" y="21364"/>
                      <wp:lineTo x="21474" y="0"/>
                      <wp:lineTo x="0" y="0"/>
                    </wp:wrapPolygon>
                  </wp:wrapThrough>
                  <wp:docPr id="148253366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2806B9-9E49-470C-B5F9-F3B3BFFF88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6AFB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BEA645B" wp14:editId="61D06D15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17780</wp:posOffset>
                  </wp:positionV>
                  <wp:extent cx="3177540" cy="2395220"/>
                  <wp:effectExtent l="0" t="0" r="3810" b="5080"/>
                  <wp:wrapThrough wrapText="bothSides">
                    <wp:wrapPolygon edited="0">
                      <wp:start x="0" y="0"/>
                      <wp:lineTo x="0" y="21474"/>
                      <wp:lineTo x="21496" y="21474"/>
                      <wp:lineTo x="21496" y="0"/>
                      <wp:lineTo x="0" y="0"/>
                    </wp:wrapPolygon>
                  </wp:wrapThrough>
                  <wp:docPr id="47599381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64382C-F884-4618-83F5-BCBD4B14C13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5B49" w:rsidRPr="002C18AD" w14:paraId="6959AAC7" w14:textId="77777777" w:rsidTr="007F647E">
        <w:tblPrEx>
          <w:tblCellMar>
            <w:left w:w="58" w:type="dxa"/>
            <w:right w:w="86" w:type="dxa"/>
          </w:tblCellMar>
        </w:tblPrEx>
        <w:trPr>
          <w:trHeight w:val="2420"/>
        </w:trPr>
        <w:tc>
          <w:tcPr>
            <w:tcW w:w="10790" w:type="dxa"/>
            <w:tcBorders>
              <w:bottom w:val="single" w:sz="4" w:space="0" w:color="auto"/>
            </w:tcBorders>
          </w:tcPr>
          <w:p w14:paraId="2F7E2935" w14:textId="35DCF727" w:rsidR="00835B49" w:rsidRPr="002C18AD" w:rsidRDefault="00835B49" w:rsidP="00EC5216">
            <w:pPr>
              <w:spacing w:after="160"/>
              <w:ind w:right="259"/>
              <w:rPr>
                <w:rFonts w:ascii="Arial Narrow" w:hAnsi="Arial Narrow" w:cstheme="minorHAnsi"/>
                <w:b/>
                <w:bCs/>
              </w:rPr>
            </w:pPr>
            <w:r w:rsidRPr="000F7144">
              <w:rPr>
                <w:rFonts w:ascii="Arial Narrow" w:hAnsi="Arial Narrow" w:cstheme="minorHAnsi"/>
                <w:b/>
                <w:bCs/>
              </w:rPr>
              <w:lastRenderedPageBreak/>
              <w:t xml:space="preserve">Service Entry Assessments </w:t>
            </w:r>
            <w:r w:rsidR="0004280D" w:rsidRPr="000F7144">
              <w:rPr>
                <w:rFonts w:ascii="Arial Narrow" w:hAnsi="Arial Narrow" w:cstheme="minorHAnsi"/>
                <w:b/>
                <w:bCs/>
              </w:rPr>
              <w:t>–</w:t>
            </w:r>
            <w:r w:rsidRPr="000F7144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="003B19ED" w:rsidRPr="000F7144">
              <w:rPr>
                <w:rFonts w:ascii="Arial Narrow" w:hAnsi="Arial Narrow" w:cstheme="minorHAnsi"/>
                <w:b/>
                <w:bCs/>
              </w:rPr>
              <w:t xml:space="preserve">Second </w:t>
            </w:r>
            <w:r w:rsidRPr="000F7144">
              <w:rPr>
                <w:rFonts w:ascii="Arial Narrow" w:hAnsi="Arial Narrow" w:cstheme="minorHAnsi"/>
                <w:b/>
                <w:bCs/>
              </w:rPr>
              <w:t xml:space="preserve">Opinions – </w:t>
            </w:r>
            <w:r w:rsidR="00316AFB">
              <w:rPr>
                <w:rFonts w:ascii="Arial Narrow" w:hAnsi="Arial Narrow" w:cstheme="minorHAnsi"/>
                <w:b/>
                <w:bCs/>
              </w:rPr>
              <w:t>4th</w:t>
            </w:r>
            <w:r w:rsidR="00AD1ABD"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="003D00EE">
              <w:rPr>
                <w:rFonts w:ascii="Arial Narrow" w:hAnsi="Arial Narrow" w:cstheme="minorHAnsi"/>
                <w:b/>
                <w:bCs/>
              </w:rPr>
              <w:t>Quarter</w:t>
            </w:r>
            <w:r w:rsidRPr="000F7144">
              <w:rPr>
                <w:rFonts w:ascii="Arial Narrow" w:hAnsi="Arial Narrow" w:cstheme="minorHAnsi"/>
                <w:b/>
                <w:bCs/>
              </w:rPr>
              <w:t xml:space="preserve"> FY 20</w:t>
            </w:r>
            <w:r w:rsidR="00C0027D">
              <w:rPr>
                <w:rFonts w:ascii="Arial Narrow" w:hAnsi="Arial Narrow" w:cstheme="minorHAnsi"/>
                <w:b/>
                <w:bCs/>
              </w:rPr>
              <w:t>2</w:t>
            </w:r>
            <w:r w:rsidR="004A5CF8">
              <w:rPr>
                <w:rFonts w:ascii="Arial Narrow" w:hAnsi="Arial Narrow" w:cstheme="minorHAnsi"/>
                <w:b/>
                <w:bCs/>
              </w:rPr>
              <w:t>4</w:t>
            </w:r>
            <w:r w:rsidRPr="000F7144">
              <w:rPr>
                <w:rFonts w:ascii="Arial Narrow" w:hAnsi="Arial Narrow" w:cstheme="minorHAnsi"/>
                <w:b/>
                <w:bCs/>
              </w:rPr>
              <w:t>:</w:t>
            </w:r>
          </w:p>
          <w:tbl>
            <w:tblPr>
              <w:tblW w:w="0" w:type="auto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94"/>
              <w:gridCol w:w="3194"/>
              <w:gridCol w:w="3194"/>
            </w:tblGrid>
            <w:tr w:rsidR="00835B49" w:rsidRPr="002C18AD" w14:paraId="5C5446FE" w14:textId="77777777" w:rsidTr="00834D15">
              <w:trPr>
                <w:trHeight w:val="690"/>
              </w:trPr>
              <w:tc>
                <w:tcPr>
                  <w:tcW w:w="3194" w:type="dxa"/>
                  <w:shd w:val="clear" w:color="auto" w:fill="FFCC99"/>
                  <w:vAlign w:val="center"/>
                </w:tcPr>
                <w:p w14:paraId="0C80C0FD" w14:textId="77777777" w:rsidR="00835B49" w:rsidRPr="002C18AD" w:rsidRDefault="00835B49" w:rsidP="00834D15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  <w:r w:rsidRPr="002C18AD">
                    <w:rPr>
                      <w:rFonts w:ascii="Arial Narrow" w:hAnsi="Arial Narrow" w:cstheme="minorHAnsi"/>
                      <w:sz w:val="20"/>
                    </w:rPr>
                    <w:t>Total Number of Service Entry Assessments:</w:t>
                  </w:r>
                </w:p>
                <w:p w14:paraId="42786F4B" w14:textId="77777777" w:rsidR="00835B49" w:rsidRPr="002C18AD" w:rsidRDefault="00835B49" w:rsidP="00834D15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</w:p>
              </w:tc>
              <w:tc>
                <w:tcPr>
                  <w:tcW w:w="3194" w:type="dxa"/>
                  <w:shd w:val="clear" w:color="auto" w:fill="CCFFCC"/>
                  <w:vAlign w:val="center"/>
                </w:tcPr>
                <w:p w14:paraId="215271BB" w14:textId="08A4C54A" w:rsidR="00835B49" w:rsidRPr="002C18AD" w:rsidRDefault="00835B49" w:rsidP="00F91611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  <w:r w:rsidRPr="002C18AD">
                    <w:rPr>
                      <w:rFonts w:ascii="Arial Narrow" w:hAnsi="Arial Narrow" w:cstheme="minorHAnsi"/>
                      <w:sz w:val="20"/>
                    </w:rPr>
                    <w:t>Number of Service Entry Assessments resulting in no further care at WMCMHS:</w:t>
                  </w:r>
                </w:p>
              </w:tc>
              <w:tc>
                <w:tcPr>
                  <w:tcW w:w="3194" w:type="dxa"/>
                  <w:shd w:val="clear" w:color="auto" w:fill="FFFF99"/>
                  <w:vAlign w:val="center"/>
                </w:tcPr>
                <w:p w14:paraId="72E1D278" w14:textId="77777777" w:rsidR="00835B49" w:rsidRPr="002C18AD" w:rsidRDefault="00835B49" w:rsidP="009C6A77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  <w:r w:rsidRPr="002C18AD">
                    <w:rPr>
                      <w:rFonts w:ascii="Arial Narrow" w:hAnsi="Arial Narrow" w:cstheme="minorHAnsi"/>
                      <w:sz w:val="20"/>
                    </w:rPr>
                    <w:t xml:space="preserve">Number of Service Entry Assessments where </w:t>
                  </w:r>
                  <w:r w:rsidR="009C6A77">
                    <w:rPr>
                      <w:rFonts w:ascii="Arial Narrow" w:hAnsi="Arial Narrow" w:cstheme="minorHAnsi"/>
                      <w:sz w:val="20"/>
                    </w:rPr>
                    <w:t>Second</w:t>
                  </w:r>
                  <w:r w:rsidRPr="002C18AD">
                    <w:rPr>
                      <w:rFonts w:ascii="Arial Narrow" w:hAnsi="Arial Narrow" w:cstheme="minorHAnsi"/>
                      <w:sz w:val="20"/>
                    </w:rPr>
                    <w:t xml:space="preserve"> Opinion was requested:</w:t>
                  </w:r>
                </w:p>
              </w:tc>
            </w:tr>
            <w:tr w:rsidR="00DC009C" w:rsidRPr="002C18AD" w14:paraId="1610246E" w14:textId="77777777" w:rsidTr="00EC5216">
              <w:trPr>
                <w:trHeight w:val="422"/>
              </w:trPr>
              <w:tc>
                <w:tcPr>
                  <w:tcW w:w="3194" w:type="dxa"/>
                  <w:shd w:val="clear" w:color="auto" w:fill="FFCC99"/>
                  <w:vAlign w:val="center"/>
                </w:tcPr>
                <w:p w14:paraId="283472CA" w14:textId="2F36C669" w:rsidR="00DC009C" w:rsidRPr="00737279" w:rsidRDefault="00F67879" w:rsidP="0066371B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  <w:r>
                    <w:rPr>
                      <w:rFonts w:ascii="Arial Narrow" w:hAnsi="Arial Narrow" w:cstheme="minorHAnsi"/>
                      <w:sz w:val="20"/>
                    </w:rPr>
                    <w:t>1</w:t>
                  </w:r>
                  <w:r w:rsidR="00316AFB">
                    <w:rPr>
                      <w:rFonts w:ascii="Arial Narrow" w:hAnsi="Arial Narrow" w:cstheme="minorHAnsi"/>
                      <w:sz w:val="20"/>
                    </w:rPr>
                    <w:t>01</w:t>
                  </w:r>
                </w:p>
              </w:tc>
              <w:tc>
                <w:tcPr>
                  <w:tcW w:w="3194" w:type="dxa"/>
                  <w:shd w:val="clear" w:color="auto" w:fill="CCFFCC"/>
                  <w:vAlign w:val="center"/>
                </w:tcPr>
                <w:p w14:paraId="7F24742A" w14:textId="4A996027" w:rsidR="00DC009C" w:rsidRPr="00737279" w:rsidRDefault="00316AFB" w:rsidP="00661D72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  <w:r>
                    <w:rPr>
                      <w:rFonts w:ascii="Arial Narrow" w:hAnsi="Arial Narrow" w:cstheme="minorHAnsi"/>
                      <w:sz w:val="20"/>
                    </w:rPr>
                    <w:t>5</w:t>
                  </w:r>
                </w:p>
              </w:tc>
              <w:tc>
                <w:tcPr>
                  <w:tcW w:w="3194" w:type="dxa"/>
                  <w:shd w:val="clear" w:color="auto" w:fill="FFFF99"/>
                  <w:vAlign w:val="center"/>
                </w:tcPr>
                <w:p w14:paraId="348965B8" w14:textId="77777777" w:rsidR="00DC009C" w:rsidRPr="00737279" w:rsidRDefault="00057A5D" w:rsidP="00F91611">
                  <w:pPr>
                    <w:ind w:right="256"/>
                    <w:jc w:val="center"/>
                    <w:rPr>
                      <w:rFonts w:ascii="Arial Narrow" w:hAnsi="Arial Narrow" w:cstheme="minorHAnsi"/>
                      <w:sz w:val="20"/>
                    </w:rPr>
                  </w:pPr>
                  <w:r w:rsidRPr="00737279">
                    <w:rPr>
                      <w:rFonts w:ascii="Arial Narrow" w:hAnsi="Arial Narrow" w:cstheme="minorHAnsi"/>
                      <w:sz w:val="20"/>
                    </w:rPr>
                    <w:t>0</w:t>
                  </w:r>
                </w:p>
              </w:tc>
            </w:tr>
          </w:tbl>
          <w:p w14:paraId="0452489C" w14:textId="52FF163D" w:rsidR="00DC009C" w:rsidRPr="002C18AD" w:rsidRDefault="00DC009C" w:rsidP="006D0D2D">
            <w:pPr>
              <w:ind w:right="256"/>
              <w:rPr>
                <w:rFonts w:ascii="Arial Narrow" w:hAnsi="Arial Narrow" w:cstheme="minorHAnsi"/>
                <w:sz w:val="20"/>
              </w:rPr>
            </w:pPr>
          </w:p>
          <w:p w14:paraId="2FBFBA45" w14:textId="38F26189" w:rsidR="00C43511" w:rsidRPr="00A50542" w:rsidRDefault="00835B49" w:rsidP="00931B9F">
            <w:pPr>
              <w:ind w:right="256"/>
              <w:rPr>
                <w:rFonts w:ascii="Arial Narrow" w:hAnsi="Arial Narrow" w:cstheme="minorHAnsi"/>
                <w:sz w:val="22"/>
                <w:szCs w:val="22"/>
              </w:rPr>
            </w:pPr>
            <w:r w:rsidRPr="009F27C3">
              <w:rPr>
                <w:rFonts w:ascii="Arial Narrow" w:hAnsi="Arial Narrow" w:cstheme="minorHAnsi"/>
                <w:sz w:val="22"/>
                <w:szCs w:val="22"/>
              </w:rPr>
              <w:t xml:space="preserve">This table shows how the State measures ease for consumers to get needed services.  </w:t>
            </w:r>
            <w:r w:rsidR="003062A8" w:rsidRPr="008C4AEA">
              <w:rPr>
                <w:rFonts w:ascii="Arial Narrow" w:hAnsi="Arial Narrow" w:cstheme="minorHAnsi"/>
                <w:sz w:val="22"/>
                <w:szCs w:val="22"/>
              </w:rPr>
              <w:t xml:space="preserve">There were </w:t>
            </w:r>
            <w:r w:rsidR="001B1A1C" w:rsidRPr="008C4AEA">
              <w:rPr>
                <w:rFonts w:ascii="Arial Narrow" w:hAnsi="Arial Narrow" w:cstheme="minorHAnsi"/>
                <w:sz w:val="22"/>
                <w:szCs w:val="22"/>
              </w:rPr>
              <w:t>no</w:t>
            </w:r>
            <w:r w:rsidR="003062A8" w:rsidRPr="008C4AEA">
              <w:rPr>
                <w:rFonts w:ascii="Arial Narrow" w:hAnsi="Arial Narrow" w:cstheme="minorHAnsi"/>
                <w:sz w:val="22"/>
                <w:szCs w:val="22"/>
              </w:rPr>
              <w:t xml:space="preserve"> second opinions requested during </w:t>
            </w:r>
            <w:r w:rsidR="00316AFB">
              <w:rPr>
                <w:rFonts w:ascii="Arial Narrow" w:hAnsi="Arial Narrow" w:cstheme="minorHAnsi"/>
                <w:sz w:val="22"/>
                <w:szCs w:val="22"/>
              </w:rPr>
              <w:t>4th</w:t>
            </w:r>
            <w:r w:rsidR="00E62735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3D00EE">
              <w:rPr>
                <w:rFonts w:ascii="Arial Narrow" w:hAnsi="Arial Narrow" w:cstheme="minorHAnsi"/>
                <w:sz w:val="22"/>
                <w:szCs w:val="22"/>
              </w:rPr>
              <w:t>Quarter</w:t>
            </w:r>
            <w:r w:rsidR="003062A8" w:rsidRPr="008C4AEA"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="003062A8" w:rsidRPr="00D961FF">
              <w:rPr>
                <w:rFonts w:ascii="Arial Narrow" w:hAnsi="Arial Narrow" w:cstheme="minorHAnsi"/>
                <w:sz w:val="22"/>
                <w:szCs w:val="22"/>
              </w:rPr>
              <w:t xml:space="preserve">  </w:t>
            </w:r>
          </w:p>
        </w:tc>
      </w:tr>
      <w:tr w:rsidR="00835B49" w:rsidRPr="002C18AD" w14:paraId="10BAAC3D" w14:textId="77777777" w:rsidTr="00316AFB">
        <w:trPr>
          <w:trHeight w:val="3770"/>
        </w:trPr>
        <w:tc>
          <w:tcPr>
            <w:tcW w:w="10790" w:type="dxa"/>
          </w:tcPr>
          <w:p w14:paraId="2FF97999" w14:textId="123260E8" w:rsidR="00A52B2D" w:rsidRPr="00A52B2D" w:rsidRDefault="00316AFB" w:rsidP="00402DB0">
            <w:pPr>
              <w:tabs>
                <w:tab w:val="left" w:pos="5200"/>
                <w:tab w:val="left" w:pos="5600"/>
              </w:tabs>
              <w:ind w:right="256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421091C6" wp14:editId="372FE21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22860</wp:posOffset>
                  </wp:positionV>
                  <wp:extent cx="3581400" cy="2346960"/>
                  <wp:effectExtent l="0" t="0" r="0" b="0"/>
                  <wp:wrapThrough wrapText="bothSides">
                    <wp:wrapPolygon edited="0">
                      <wp:start x="0" y="0"/>
                      <wp:lineTo x="0" y="21390"/>
                      <wp:lineTo x="21485" y="21390"/>
                      <wp:lineTo x="21485" y="0"/>
                      <wp:lineTo x="0" y="0"/>
                    </wp:wrapPolygon>
                  </wp:wrapThrough>
                  <wp:docPr id="23855250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F45">
              <w:rPr>
                <w:rFonts w:ascii="Arial Narrow" w:hAnsi="Arial Narrow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4CDABB" wp14:editId="4E264B2D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66040</wp:posOffset>
                      </wp:positionV>
                      <wp:extent cx="2769870" cy="209804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209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0F1C3F" w14:textId="77777777" w:rsidR="00A047B2" w:rsidRPr="00285CA7" w:rsidRDefault="00A047B2">
                                  <w:pPr>
                                    <w:pStyle w:val="BodyText2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This graph shows the percentage of times WMCMH clinicians came to a decision regarding hospitalization within 3 hours of request.  For consumers requesting emergency hospitalization, the State mandates that 95% of these decisions must be made within 3 hours of the request for hospitalization.  </w:t>
                                  </w:r>
                                </w:p>
                                <w:p w14:paraId="4F02E995" w14:textId="77777777" w:rsidR="005F06FB" w:rsidRPr="00285CA7" w:rsidRDefault="005F06FB">
                                  <w:pPr>
                                    <w:pStyle w:val="BodyText2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24E45A" w14:textId="19225C4F" w:rsidR="00B25F82" w:rsidRPr="005F06FB" w:rsidRDefault="00B25F82">
                                  <w:pPr>
                                    <w:pStyle w:val="BodyText2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For the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4th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Quarter, WMCMH exceeded the State standard for</w:t>
                                  </w:r>
                                  <w:r w:rsidR="004A5CF8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Adults</w:t>
                                  </w:r>
                                  <w:r w:rsidR="00364C04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and Children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F06FB" w:rsidRPr="005F06FB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DABB" id="Text Box 9" o:spid="_x0000_s1031" type="#_x0000_t202" style="position:absolute;margin-left:283.95pt;margin-top:5.2pt;width:218.1pt;height:1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" stroked="f">
                      <v:textbox>
                        <w:txbxContent>
                          <w:p w14:paraId="390F1C3F" w14:textId="77777777" w:rsidR="00A047B2" w:rsidRPr="00285CA7" w:rsidRDefault="00A047B2">
                            <w:pPr>
                              <w:pStyle w:val="BodyText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graph shows the percentage of times WMCMH clinicians came to a decision regarding hospitalization within 3 hours of request.  For consumers requesting emergency hospitalization, the State mandates that 95% of these decisions must be made within 3 hours of the request for hospitalization.  </w:t>
                            </w:r>
                          </w:p>
                          <w:p w14:paraId="4F02E995" w14:textId="77777777" w:rsidR="005F06FB" w:rsidRPr="00285CA7" w:rsidRDefault="005F06FB">
                            <w:pPr>
                              <w:pStyle w:val="BodyText2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D24E45A" w14:textId="19225C4F" w:rsidR="00B25F82" w:rsidRPr="005F06FB" w:rsidRDefault="00B25F82">
                            <w:pPr>
                              <w:pStyle w:val="BodyText2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For the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4th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Quarter, WMCMH exceeded the State standard for</w:t>
                            </w:r>
                            <w:r w:rsidR="004A5CF8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Adults</w:t>
                            </w:r>
                            <w:r w:rsidR="00364C04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Children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5F06FB" w:rsidRPr="005F06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1471">
              <w:rPr>
                <w:rFonts w:ascii="Arial Narrow" w:hAnsi="Arial Narrow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14536A" wp14:editId="5FD0CEE4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177800</wp:posOffset>
                      </wp:positionV>
                      <wp:extent cx="2356485" cy="1600200"/>
                      <wp:effectExtent l="0" t="0" r="0" b="25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648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5CE99" w14:textId="77777777" w:rsidR="00A047B2" w:rsidRDefault="00A047B2">
                                  <w:pPr>
                                    <w:pStyle w:val="BodyText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58E393AE" w14:textId="77777777" w:rsidR="00A047B2" w:rsidRDefault="00A047B2">
                                  <w:pPr>
                                    <w:pStyle w:val="BodyText"/>
                                    <w:rPr>
                                      <w:rFonts w:ascii="Arial" w:hAnsi="Arial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 xml:space="preserve">This graph shows the percentage of consumers who leave an inpatient facility and are seen by WMCMHS for continued care within 7 days.  </w:t>
                                  </w:r>
                                </w:p>
                                <w:p w14:paraId="2DA55AB8" w14:textId="77777777" w:rsidR="00A047B2" w:rsidRDefault="00A047B2">
                                  <w:pPr>
                                    <w:pStyle w:val="BodyText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3B961CE3" w14:textId="77777777" w:rsidR="00A047B2" w:rsidRDefault="00A047B2">
                                  <w:pPr>
                                    <w:pStyle w:val="BodyText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For the 1</w:t>
                                  </w:r>
                                  <w:r w:rsidRPr="003062A8">
                                    <w:rPr>
                                      <w:rFonts w:ascii="Arial" w:hAnsi="Arial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Quarter, WMCMHS met the State standard for both Adults and Children.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4536A" id="Text Box 4" o:spid="_x0000_s1032" type="#_x0000_t202" style="position:absolute;margin-left:302.1pt;margin-top:14pt;width:185.5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" stroked="f">
                      <v:textbox>
                        <w:txbxContent>
                          <w:p w14:paraId="4A55CE99" w14:textId="77777777" w:rsidR="00A047B2" w:rsidRDefault="00A047B2">
                            <w:pPr>
                              <w:pStyle w:val="BodyText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8E393AE" w14:textId="77777777" w:rsidR="00A047B2" w:rsidRDefault="00A047B2">
                            <w:pPr>
                              <w:pStyle w:val="BodyText"/>
                              <w:rPr>
                                <w:rFonts w:ascii="Arial" w:hAnsi="Arial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This graph shows the percentage of consumers who leave an inpatient facility and are seen by WMCMHS for continued care within 7 days.  </w:t>
                            </w:r>
                          </w:p>
                          <w:p w14:paraId="2DA55AB8" w14:textId="77777777" w:rsidR="00A047B2" w:rsidRDefault="00A047B2">
                            <w:pPr>
                              <w:pStyle w:val="BodyText"/>
                              <w:rPr>
                                <w:rFonts w:ascii="Arial" w:hAnsi="Arial"/>
                              </w:rPr>
                            </w:pPr>
                          </w:p>
                          <w:p w14:paraId="3B961CE3" w14:textId="77777777" w:rsidR="00A047B2" w:rsidRDefault="00A047B2">
                            <w:pPr>
                              <w:pStyle w:val="BodyTex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For the 1</w:t>
                            </w:r>
                            <w:r w:rsidRPr="003062A8">
                              <w:rPr>
                                <w:rFonts w:ascii="Arial" w:hAnsi="Arial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Quarter, WMCMHS met the State standard for both Adults and Children.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A36">
              <w:rPr>
                <w:noProof/>
              </w:rPr>
              <w:t xml:space="preserve"> </w:t>
            </w:r>
          </w:p>
        </w:tc>
      </w:tr>
      <w:tr w:rsidR="004F224E" w:rsidRPr="002C18AD" w14:paraId="7AB8E149" w14:textId="77777777" w:rsidTr="00316AFB">
        <w:trPr>
          <w:trHeight w:val="4220"/>
        </w:trPr>
        <w:tc>
          <w:tcPr>
            <w:tcW w:w="10790" w:type="dxa"/>
          </w:tcPr>
          <w:p w14:paraId="646E68D7" w14:textId="19DFC009" w:rsidR="00BF2A90" w:rsidRPr="00D350DC" w:rsidRDefault="00614FA9" w:rsidP="00962798">
            <w:pPr>
              <w:tabs>
                <w:tab w:val="left" w:pos="5200"/>
                <w:tab w:val="left" w:pos="5600"/>
              </w:tabs>
              <w:ind w:right="256"/>
              <w:rPr>
                <w:noProof/>
              </w:rPr>
            </w:pPr>
            <w:r>
              <w:rPr>
                <w:rFonts w:ascii="Arial Narrow" w:hAnsi="Arial Narrow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D8ACFB" wp14:editId="5F4F41CE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50800</wp:posOffset>
                      </wp:positionV>
                      <wp:extent cx="2790825" cy="2425700"/>
                      <wp:effectExtent l="0" t="0" r="28575" b="1270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242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0E9E6" w14:textId="77777777" w:rsidR="00A047B2" w:rsidRPr="00285CA7" w:rsidRDefault="00A047B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This graph shows the percentage of WMCMH consumers who were discharged from an inpatient facility and were seen by WMCMH staff within 7 days of discharge.</w:t>
                                  </w:r>
                                </w:p>
                                <w:p w14:paraId="772A0826" w14:textId="77777777" w:rsidR="00A047B2" w:rsidRPr="00285CA7" w:rsidRDefault="00A047B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476EFF" w14:textId="129E2744" w:rsidR="00B25F82" w:rsidRPr="00614FA9" w:rsidRDefault="00B25F8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For the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4th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Quarter, WMCMH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was below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the State standard </w:t>
                                  </w:r>
                                  <w:r w:rsidR="00BF2A90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="00D350DC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30B62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Adults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and Children</w:t>
                                  </w:r>
                                  <w:r w:rsidR="00FB4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  There were o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nly 3 out of compliance cases, but all were staff scheduling errors</w:t>
                                  </w:r>
                                  <w:r w:rsidR="00FB4F23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  C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orrective actions will be implemented to improve performance</w:t>
                                  </w:r>
                                  <w:r w:rsidR="00F91849"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BF2A90" w:rsidRPr="00614F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350DC" w:rsidRPr="00614FA9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ACFB" id="Text Box 10" o:spid="_x0000_s1033" type="#_x0000_t202" style="position:absolute;margin-left:282.35pt;margin-top:4pt;width:219.75pt;height:19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" strokecolor="white [3212]">
                      <v:textbox>
                        <w:txbxContent>
                          <w:p w14:paraId="6C50E9E6" w14:textId="77777777" w:rsidR="00A047B2" w:rsidRPr="00285CA7" w:rsidRDefault="00A047B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This graph shows the percentage of WMCMH consumers who were discharged from an inpatient facility and were seen by WMCMH staff within 7 days of discharge.</w:t>
                            </w:r>
                          </w:p>
                          <w:p w14:paraId="772A0826" w14:textId="77777777" w:rsidR="00A047B2" w:rsidRPr="00285CA7" w:rsidRDefault="00A047B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8476EFF" w14:textId="129E2744" w:rsidR="00B25F82" w:rsidRPr="00614FA9" w:rsidRDefault="00B25F8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For the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4th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Quarter, WMCMH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was below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the State standard </w:t>
                            </w:r>
                            <w:r w:rsidR="00BF2A90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for</w:t>
                            </w:r>
                            <w:r w:rsidR="00D350DC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0B62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Adults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and Children</w:t>
                            </w:r>
                            <w:r w:rsidR="00FB4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 There were o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nly 3 out of compliance cases, but all were staff scheduling errors</w:t>
                            </w:r>
                            <w:r w:rsidR="00FB4F2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 C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orrective actions will be implemented to improve performance</w:t>
                            </w:r>
                            <w:r w:rsidR="00F91849"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BF2A90" w:rsidRPr="00614F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50DC" w:rsidRPr="00614FA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AFB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37D6D1EB" wp14:editId="72D087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3536315" cy="2526030"/>
                  <wp:effectExtent l="0" t="0" r="6985" b="7620"/>
                  <wp:wrapThrough wrapText="bothSides">
                    <wp:wrapPolygon edited="0">
                      <wp:start x="0" y="0"/>
                      <wp:lineTo x="0" y="21502"/>
                      <wp:lineTo x="21526" y="21502"/>
                      <wp:lineTo x="21526" y="0"/>
                      <wp:lineTo x="0" y="0"/>
                    </wp:wrapPolygon>
                  </wp:wrapThrough>
                  <wp:docPr id="49093963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8B6">
              <w:rPr>
                <w:noProof/>
              </w:rPr>
              <w:t xml:space="preserve"> </w:t>
            </w:r>
          </w:p>
        </w:tc>
      </w:tr>
    </w:tbl>
    <w:p w14:paraId="4D1201E4" w14:textId="3968C0F3" w:rsidR="00EB37A3" w:rsidRDefault="00EB37A3"/>
    <w:p w14:paraId="02BF0000" w14:textId="77777777" w:rsidR="00EB37A3" w:rsidRDefault="00EB37A3">
      <w:r>
        <w:br w:type="page"/>
      </w:r>
    </w:p>
    <w:p w14:paraId="02EC2C36" w14:textId="77777777" w:rsidR="00EB37A3" w:rsidRDefault="00EB37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651CE6" w:rsidRPr="002C18AD" w14:paraId="3661DF2B" w14:textId="77777777" w:rsidTr="00472F09">
        <w:trPr>
          <w:trHeight w:val="4031"/>
        </w:trPr>
        <w:tc>
          <w:tcPr>
            <w:tcW w:w="10790" w:type="dxa"/>
          </w:tcPr>
          <w:p w14:paraId="21A79DEA" w14:textId="422D534E" w:rsidR="00651CE6" w:rsidRPr="00DA480F" w:rsidRDefault="00472F09" w:rsidP="00691630">
            <w:pPr>
              <w:tabs>
                <w:tab w:val="left" w:pos="4410"/>
              </w:tabs>
              <w:ind w:right="256"/>
              <w:rPr>
                <w:rFonts w:ascii="Arial Narrow" w:hAnsi="Arial Narrow" w:cstheme="minorHAnsi"/>
                <w:noProof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FE1A4E3" wp14:editId="6E7F723A">
                  <wp:extent cx="3545254" cy="2351583"/>
                  <wp:effectExtent l="0" t="0" r="0" b="0"/>
                  <wp:docPr id="70257172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  <w:r w:rsidR="00982374">
              <w:rPr>
                <w:rFonts w:ascii="Arial Narrow" w:hAnsi="Arial Narrow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90B67A" wp14:editId="47CCCA4F">
                      <wp:simplePos x="0" y="0"/>
                      <wp:positionH relativeFrom="column">
                        <wp:posOffset>3611245</wp:posOffset>
                      </wp:positionH>
                      <wp:positionV relativeFrom="paragraph">
                        <wp:posOffset>69850</wp:posOffset>
                      </wp:positionV>
                      <wp:extent cx="2753360" cy="2286000"/>
                      <wp:effectExtent l="0" t="0" r="889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336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61380" w14:textId="77777777" w:rsidR="00A047B2" w:rsidRPr="00285CA7" w:rsidRDefault="00A047B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 xml:space="preserve">This graph shows the percentage of consumers who leave an inpatient facility and are then readmitted for inpatient services within 30 days.  The State standard is less than 15%.  </w:t>
                                  </w:r>
                                </w:p>
                                <w:p w14:paraId="5406E67F" w14:textId="77777777" w:rsidR="00A047B2" w:rsidRPr="00285CA7" w:rsidRDefault="00A047B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E6DE415" w14:textId="6EB8DBB2" w:rsidR="00A047B2" w:rsidRPr="00614FA9" w:rsidRDefault="00A047B2" w:rsidP="005F06FB">
                                  <w:pPr>
                                    <w:pStyle w:val="BodyText"/>
                                    <w:rPr>
                                      <w:rFonts w:ascii="Arial Narrow" w:hAnsi="Arial Narrow"/>
                                      <w:szCs w:val="20"/>
                                    </w:rPr>
                                  </w:pP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For the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4th</w:t>
                                  </w:r>
                                  <w:r w:rsidR="00E62735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3D00EE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Quarter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, WMCMH</w:t>
                                  </w:r>
                                  <w:r w:rsidR="00EA4264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DF4C98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was </w:t>
                                  </w:r>
                                  <w:r w:rsidR="00285CA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below</w:t>
                                  </w:r>
                                  <w:r w:rsidR="00DF4C98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FB4F23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(within) </w:t>
                                  </w:r>
                                  <w:r w:rsidR="00DF4C98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the state standard</w:t>
                                  </w:r>
                                  <w:r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for</w:t>
                                  </w:r>
                                  <w:r w:rsidR="00030B62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</w:t>
                                  </w:r>
                                  <w:r w:rsidR="007C68BA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Adults</w:t>
                                  </w:r>
                                  <w:r w:rsidR="00A85106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and</w:t>
                                  </w:r>
                                  <w:r w:rsidR="007C68BA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 xml:space="preserve"> Children</w:t>
                                  </w:r>
                                  <w:r w:rsidR="006C4337" w:rsidRPr="00285CA7">
                                    <w:rPr>
                                      <w:rFonts w:asciiTheme="minorHAnsi" w:hAnsiTheme="minorHAnsi" w:cstheme="minorHAnsi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0B67A" id="Text Box 5" o:spid="_x0000_s1034" type="#_x0000_t202" style="position:absolute;margin-left:284.35pt;margin-top:5.5pt;width:216.8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" stroked="f">
                      <v:textbox>
                        <w:txbxContent>
                          <w:p w14:paraId="51661380" w14:textId="77777777" w:rsidR="00A047B2" w:rsidRPr="00285CA7" w:rsidRDefault="00A047B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This graph shows the percentage of consumers who leave an inpatient facility and are then readmitted for inpatient services within 30 days.  The State standard is less than 15%.  </w:t>
                            </w:r>
                          </w:p>
                          <w:p w14:paraId="5406E67F" w14:textId="77777777" w:rsidR="00A047B2" w:rsidRPr="00285CA7" w:rsidRDefault="00A047B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E6DE415" w14:textId="6EB8DBB2" w:rsidR="00A047B2" w:rsidRPr="00614FA9" w:rsidRDefault="00A047B2" w:rsidP="005F06FB">
                            <w:pPr>
                              <w:pStyle w:val="BodyText"/>
                              <w:rPr>
                                <w:rFonts w:ascii="Arial Narrow" w:hAnsi="Arial Narrow"/>
                                <w:szCs w:val="20"/>
                              </w:rPr>
                            </w:pP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For the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4th</w:t>
                            </w:r>
                            <w:r w:rsidR="00E62735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3D00EE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Quarter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, WMCMH</w:t>
                            </w:r>
                            <w:r w:rsidR="00EA4264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DF4C98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was </w:t>
                            </w:r>
                            <w:r w:rsidR="00285CA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below</w:t>
                            </w:r>
                            <w:r w:rsidR="00DF4C98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FB4F23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(within) </w:t>
                            </w:r>
                            <w:r w:rsidR="00DF4C98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the state standard</w:t>
                            </w:r>
                            <w:r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for</w:t>
                            </w:r>
                            <w:r w:rsidR="00030B62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</w:t>
                            </w:r>
                            <w:r w:rsidR="007C68BA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Adults</w:t>
                            </w:r>
                            <w:r w:rsidR="00A85106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and</w:t>
                            </w:r>
                            <w:r w:rsidR="007C68BA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 xml:space="preserve"> Children</w:t>
                            </w:r>
                            <w:r w:rsidR="006C4337" w:rsidRPr="00285CA7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941">
              <w:rPr>
                <w:noProof/>
              </w:rPr>
              <w:t xml:space="preserve"> </w:t>
            </w:r>
          </w:p>
        </w:tc>
      </w:tr>
    </w:tbl>
    <w:p w14:paraId="63BB4132" w14:textId="77777777" w:rsidR="00835B49" w:rsidRDefault="00835B49" w:rsidP="006D0D2D">
      <w:pPr>
        <w:ind w:right="256"/>
        <w:rPr>
          <w:rFonts w:ascii="Arial Narrow" w:hAnsi="Arial Narrow" w:cstheme="minorHAnsi"/>
          <w:sz w:val="12"/>
        </w:rPr>
      </w:pPr>
    </w:p>
    <w:p w14:paraId="26CB8B81" w14:textId="77777777" w:rsidR="00EB37A3" w:rsidRDefault="00EB37A3" w:rsidP="003D00EE">
      <w:pPr>
        <w:rPr>
          <w:rFonts w:ascii="Arial" w:hAnsi="Arial" w:cs="Arial"/>
          <w:b/>
          <w:bCs/>
          <w:sz w:val="22"/>
          <w:szCs w:val="22"/>
        </w:rPr>
      </w:pPr>
    </w:p>
    <w:p w14:paraId="28B4D6C3" w14:textId="77777777" w:rsidR="00EB37A3" w:rsidRDefault="00EB37A3" w:rsidP="003D00EE">
      <w:pPr>
        <w:rPr>
          <w:rFonts w:ascii="Arial" w:hAnsi="Arial" w:cs="Arial"/>
          <w:b/>
          <w:bCs/>
          <w:sz w:val="22"/>
          <w:szCs w:val="22"/>
        </w:rPr>
      </w:pPr>
    </w:p>
    <w:p w14:paraId="54E570A1" w14:textId="77777777" w:rsidR="00EB37A3" w:rsidRDefault="00EB37A3" w:rsidP="003D00EE">
      <w:pPr>
        <w:rPr>
          <w:rFonts w:ascii="Arial" w:hAnsi="Arial" w:cs="Arial"/>
          <w:b/>
          <w:bCs/>
          <w:sz w:val="22"/>
          <w:szCs w:val="22"/>
        </w:rPr>
      </w:pPr>
    </w:p>
    <w:p w14:paraId="062D0EE1" w14:textId="3C9FAE10" w:rsidR="00835B49" w:rsidRPr="001E1DF2" w:rsidRDefault="00835B49" w:rsidP="003D00EE">
      <w:pPr>
        <w:rPr>
          <w:rFonts w:ascii="Arial" w:hAnsi="Arial" w:cs="Arial"/>
          <w:b/>
          <w:bCs/>
          <w:sz w:val="22"/>
          <w:szCs w:val="22"/>
        </w:rPr>
      </w:pPr>
      <w:r w:rsidRPr="00420CFA">
        <w:rPr>
          <w:rFonts w:ascii="Arial" w:hAnsi="Arial" w:cs="Arial"/>
          <w:b/>
          <w:bCs/>
          <w:sz w:val="22"/>
          <w:szCs w:val="22"/>
        </w:rPr>
        <w:t>SUMMARY/CONCLUSION:</w:t>
      </w:r>
      <w:r w:rsidR="009F1B86" w:rsidRPr="001E1D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D48B61" w14:textId="77777777" w:rsidR="00DF1F2B" w:rsidRDefault="00DF1F2B" w:rsidP="006D0D2D">
      <w:pPr>
        <w:pStyle w:val="Heading1"/>
        <w:ind w:right="256"/>
        <w:rPr>
          <w:rFonts w:ascii="Arial Narrow" w:hAnsi="Arial Narrow" w:cstheme="minorHAnsi"/>
          <w:b w:val="0"/>
          <w:bCs w:val="0"/>
          <w:sz w:val="22"/>
          <w:szCs w:val="22"/>
          <w:u w:val="single"/>
        </w:rPr>
      </w:pPr>
    </w:p>
    <w:p w14:paraId="6D5BEEB8" w14:textId="3DF3EC31" w:rsidR="00835B49" w:rsidRPr="00DB459C" w:rsidRDefault="00835B49" w:rsidP="006D0D2D">
      <w:pPr>
        <w:pStyle w:val="Heading1"/>
        <w:ind w:right="25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459C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Outstanding Performance</w:t>
      </w:r>
      <w:r w:rsidRPr="00DB459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709CAE44" w14:textId="77777777" w:rsidR="00FC5D1F" w:rsidRPr="001C6D57" w:rsidRDefault="00FC5D1F" w:rsidP="00FC5D1F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  <w:u w:val="single"/>
        </w:rPr>
      </w:pPr>
      <w:r w:rsidRPr="00E04B8A">
        <w:rPr>
          <w:rFonts w:asciiTheme="minorHAnsi" w:hAnsiTheme="minorHAnsi" w:cstheme="minorHAnsi"/>
          <w:sz w:val="22"/>
          <w:szCs w:val="22"/>
        </w:rPr>
        <w:t>Adult population:  percentage of inpatient screenings done within 3 hours or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AC4610" w14:textId="77777777" w:rsidR="00FC5D1F" w:rsidRDefault="00FC5D1F" w:rsidP="00FC5D1F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E04B8A">
        <w:rPr>
          <w:rFonts w:asciiTheme="minorHAnsi" w:hAnsiTheme="minorHAnsi" w:cstheme="minorHAnsi"/>
          <w:sz w:val="22"/>
          <w:szCs w:val="22"/>
        </w:rPr>
        <w:t>Child population:  percentage of inpatient screenings done within 3 hours or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E0111" w14:textId="77777777" w:rsidR="00E04B8A" w:rsidRPr="00DB459C" w:rsidRDefault="00E04B8A" w:rsidP="00357A57">
      <w:pPr>
        <w:pStyle w:val="ListParagraph"/>
        <w:ind w:right="256"/>
        <w:rPr>
          <w:rFonts w:asciiTheme="minorHAnsi" w:hAnsiTheme="minorHAnsi" w:cstheme="minorHAnsi"/>
          <w:sz w:val="22"/>
          <w:szCs w:val="22"/>
          <w:u w:val="single"/>
        </w:rPr>
      </w:pPr>
    </w:p>
    <w:p w14:paraId="72F2184D" w14:textId="532A9B31" w:rsidR="00A5282D" w:rsidRPr="00285CA7" w:rsidRDefault="00A84162" w:rsidP="00285CA7">
      <w:pPr>
        <w:ind w:right="256"/>
        <w:rPr>
          <w:rFonts w:asciiTheme="minorHAnsi" w:hAnsiTheme="minorHAnsi" w:cstheme="minorHAnsi"/>
          <w:sz w:val="22"/>
          <w:szCs w:val="22"/>
        </w:rPr>
      </w:pPr>
      <w:r w:rsidRPr="00DB459C">
        <w:rPr>
          <w:rFonts w:asciiTheme="minorHAnsi" w:hAnsiTheme="minorHAnsi" w:cstheme="minorHAnsi"/>
          <w:sz w:val="22"/>
          <w:szCs w:val="22"/>
          <w:u w:val="single"/>
        </w:rPr>
        <w:t>Acceptable Performance</w:t>
      </w:r>
      <w:r w:rsidRPr="00DB459C">
        <w:rPr>
          <w:rFonts w:asciiTheme="minorHAnsi" w:hAnsiTheme="minorHAnsi" w:cstheme="minorHAnsi"/>
          <w:sz w:val="22"/>
          <w:szCs w:val="22"/>
        </w:rPr>
        <w:t>:</w:t>
      </w:r>
    </w:p>
    <w:p w14:paraId="643B9A04" w14:textId="024E2F12" w:rsidR="00515E89" w:rsidRDefault="00947410" w:rsidP="00947410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285CA7">
        <w:rPr>
          <w:rFonts w:asciiTheme="minorHAnsi" w:hAnsiTheme="minorHAnsi" w:cstheme="minorHAnsi"/>
          <w:sz w:val="22"/>
          <w:szCs w:val="22"/>
        </w:rPr>
        <w:t xml:space="preserve">Percentage of </w:t>
      </w:r>
      <w:r w:rsidR="00FC5D1F" w:rsidRPr="00285CA7">
        <w:rPr>
          <w:rFonts w:asciiTheme="minorHAnsi" w:hAnsiTheme="minorHAnsi" w:cstheme="minorHAnsi"/>
          <w:sz w:val="22"/>
          <w:szCs w:val="22"/>
        </w:rPr>
        <w:t>A</w:t>
      </w:r>
      <w:r w:rsidRPr="00285CA7">
        <w:rPr>
          <w:rFonts w:asciiTheme="minorHAnsi" w:hAnsiTheme="minorHAnsi" w:cstheme="minorHAnsi"/>
          <w:sz w:val="22"/>
          <w:szCs w:val="22"/>
        </w:rPr>
        <w:t xml:space="preserve">dult discharges readmitted to inpatient within 30 days </w:t>
      </w:r>
    </w:p>
    <w:p w14:paraId="441FA465" w14:textId="77777777" w:rsidR="00472F09" w:rsidRPr="00472F09" w:rsidRDefault="00420CFA" w:rsidP="00472F09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420CFA">
        <w:rPr>
          <w:rFonts w:asciiTheme="minorHAnsi" w:hAnsiTheme="minorHAnsi" w:cstheme="minorHAnsi"/>
          <w:sz w:val="22"/>
          <w:szCs w:val="22"/>
        </w:rPr>
        <w:t>Percentage of Children’s discharges readmitted to inpatient within 30 days</w:t>
      </w:r>
      <w:r w:rsidR="00472F09" w:rsidRPr="00472F09">
        <w:rPr>
          <w:rFonts w:asciiTheme="minorHAnsi" w:hAnsiTheme="minorHAnsi" w:cstheme="minorHAnsi"/>
          <w:bCs/>
          <w:sz w:val="22"/>
        </w:rPr>
        <w:t xml:space="preserve"> </w:t>
      </w:r>
    </w:p>
    <w:p w14:paraId="1E9BEDFA" w14:textId="43D9B0B4" w:rsidR="00420CFA" w:rsidRPr="00472F09" w:rsidRDefault="00472F09" w:rsidP="00472F09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285CA7">
        <w:rPr>
          <w:rFonts w:asciiTheme="minorHAnsi" w:hAnsiTheme="minorHAnsi" w:cstheme="minorHAnsi"/>
          <w:bCs/>
          <w:sz w:val="22"/>
        </w:rPr>
        <w:t>Service Entry Assessments – Second Opinions</w:t>
      </w:r>
      <w:r w:rsidRPr="00285C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B93C40" w14:textId="77777777" w:rsidR="00E36F84" w:rsidRPr="00420CFA" w:rsidRDefault="00E36F84" w:rsidP="00E36F84">
      <w:pPr>
        <w:pStyle w:val="ListParagraph"/>
        <w:ind w:left="360" w:right="256"/>
        <w:rPr>
          <w:rFonts w:asciiTheme="minorHAnsi" w:hAnsiTheme="minorHAnsi" w:cstheme="minorHAnsi"/>
          <w:sz w:val="22"/>
          <w:szCs w:val="22"/>
        </w:rPr>
      </w:pPr>
    </w:p>
    <w:p w14:paraId="0BCD9671" w14:textId="4F817F14" w:rsidR="001E423A" w:rsidRPr="00420CFA" w:rsidRDefault="00E36F84" w:rsidP="001E423A">
      <w:pPr>
        <w:ind w:right="256"/>
        <w:rPr>
          <w:rFonts w:asciiTheme="minorHAnsi" w:hAnsiTheme="minorHAnsi" w:cstheme="minorHAnsi"/>
          <w:sz w:val="22"/>
          <w:szCs w:val="22"/>
        </w:rPr>
      </w:pPr>
      <w:r w:rsidRPr="00420CFA">
        <w:rPr>
          <w:rFonts w:asciiTheme="minorHAnsi" w:hAnsiTheme="minorHAnsi" w:cstheme="minorHAnsi"/>
          <w:sz w:val="22"/>
          <w:szCs w:val="22"/>
          <w:u w:val="single"/>
        </w:rPr>
        <w:t>Below Acceptable Performance</w:t>
      </w:r>
      <w:r w:rsidR="001E423A" w:rsidRPr="00420CF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B4F5BF2" w14:textId="77777777" w:rsidR="00FC5D1F" w:rsidRPr="00420CFA" w:rsidRDefault="00FC5D1F" w:rsidP="00FC5D1F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420CFA">
        <w:rPr>
          <w:rFonts w:asciiTheme="minorHAnsi" w:hAnsiTheme="minorHAnsi" w:cstheme="minorHAnsi"/>
          <w:sz w:val="22"/>
          <w:szCs w:val="22"/>
        </w:rPr>
        <w:t xml:space="preserve">Percent of Adults and Children assessed within 14 days </w:t>
      </w:r>
    </w:p>
    <w:p w14:paraId="0E8732DD" w14:textId="77777777" w:rsidR="00FC5D1F" w:rsidRPr="00420CFA" w:rsidRDefault="00FC5D1F" w:rsidP="00FC5D1F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420CFA">
        <w:rPr>
          <w:rFonts w:asciiTheme="minorHAnsi" w:hAnsiTheme="minorHAnsi" w:cstheme="minorHAnsi"/>
          <w:sz w:val="22"/>
          <w:szCs w:val="22"/>
        </w:rPr>
        <w:t xml:space="preserve">Percent of Adults and Children starting ongoing care within 14 days </w:t>
      </w:r>
    </w:p>
    <w:p w14:paraId="15B9FBD8" w14:textId="77777777" w:rsidR="00FF4F5B" w:rsidRPr="00420CFA" w:rsidRDefault="00FF4F5B" w:rsidP="00FF4F5B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</w:rPr>
      </w:pPr>
      <w:r w:rsidRPr="00420CFA">
        <w:rPr>
          <w:rFonts w:asciiTheme="minorHAnsi" w:hAnsiTheme="minorHAnsi" w:cstheme="minorHAnsi"/>
          <w:sz w:val="22"/>
          <w:szCs w:val="22"/>
        </w:rPr>
        <w:t xml:space="preserve">Percentage of Children seen within 7 days of inpatient discharge </w:t>
      </w:r>
    </w:p>
    <w:p w14:paraId="6B058484" w14:textId="4DB9AA79" w:rsidR="00285CA7" w:rsidRPr="00420CFA" w:rsidRDefault="00285CA7" w:rsidP="00FF4F5B">
      <w:pPr>
        <w:pStyle w:val="ListParagraph"/>
        <w:numPr>
          <w:ilvl w:val="0"/>
          <w:numId w:val="29"/>
        </w:numPr>
        <w:ind w:right="256"/>
        <w:rPr>
          <w:rFonts w:asciiTheme="minorHAnsi" w:hAnsiTheme="minorHAnsi" w:cstheme="minorHAnsi"/>
          <w:sz w:val="22"/>
          <w:szCs w:val="22"/>
          <w:u w:val="single"/>
        </w:rPr>
      </w:pPr>
      <w:r w:rsidRPr="00420CFA">
        <w:rPr>
          <w:rFonts w:asciiTheme="minorHAnsi" w:hAnsiTheme="minorHAnsi" w:cstheme="minorHAnsi"/>
          <w:sz w:val="22"/>
          <w:szCs w:val="22"/>
        </w:rPr>
        <w:t>Percentage of Adults seen within 7 days of inpatient discharge</w:t>
      </w:r>
    </w:p>
    <w:p w14:paraId="79B7A821" w14:textId="77777777" w:rsidR="00FF4F5B" w:rsidRPr="00420CFA" w:rsidRDefault="00FF4F5B" w:rsidP="001E423A">
      <w:pPr>
        <w:ind w:right="256"/>
        <w:rPr>
          <w:rFonts w:asciiTheme="minorHAnsi" w:hAnsiTheme="minorHAnsi" w:cstheme="minorHAnsi"/>
          <w:sz w:val="22"/>
          <w:szCs w:val="22"/>
        </w:rPr>
      </w:pPr>
    </w:p>
    <w:p w14:paraId="5CE41F5C" w14:textId="77777777" w:rsidR="00E04B8A" w:rsidRPr="00420CFA" w:rsidRDefault="00E04B8A" w:rsidP="00A85106">
      <w:pPr>
        <w:pStyle w:val="ListParagraph"/>
        <w:ind w:right="256"/>
        <w:rPr>
          <w:rFonts w:asciiTheme="minorHAnsi" w:hAnsiTheme="minorHAnsi" w:cstheme="minorHAnsi"/>
          <w:sz w:val="22"/>
          <w:szCs w:val="22"/>
          <w:u w:val="single"/>
        </w:rPr>
      </w:pPr>
    </w:p>
    <w:p w14:paraId="6850A277" w14:textId="77777777" w:rsidR="00AA4BE1" w:rsidRDefault="00835B49">
      <w:pPr>
        <w:ind w:right="256"/>
        <w:rPr>
          <w:rFonts w:ascii="Arial Narrow" w:hAnsi="Arial Narrow" w:cstheme="minorHAnsi"/>
          <w:sz w:val="22"/>
          <w:szCs w:val="22"/>
        </w:rPr>
      </w:pPr>
      <w:r w:rsidRPr="00420CFA">
        <w:rPr>
          <w:rFonts w:ascii="Arial Narrow" w:hAnsi="Arial Narrow" w:cstheme="minorHAnsi"/>
          <w:sz w:val="22"/>
          <w:szCs w:val="22"/>
        </w:rPr>
        <w:t xml:space="preserve">If you have any questions, please call </w:t>
      </w:r>
      <w:r w:rsidR="002654B4" w:rsidRPr="00420CFA">
        <w:rPr>
          <w:rFonts w:ascii="Arial Narrow" w:hAnsi="Arial Narrow" w:cstheme="minorHAnsi"/>
          <w:sz w:val="22"/>
          <w:szCs w:val="22"/>
        </w:rPr>
        <w:t>Michele Condit at 231-843-5464.</w:t>
      </w:r>
      <w:r w:rsidR="002654B4" w:rsidRPr="000F5A51">
        <w:rPr>
          <w:rFonts w:ascii="Arial Narrow" w:hAnsi="Arial Narrow" w:cstheme="minorHAnsi"/>
          <w:sz w:val="22"/>
          <w:szCs w:val="22"/>
        </w:rPr>
        <w:t xml:space="preserve">  </w:t>
      </w:r>
      <w:r w:rsidRPr="000F5A51">
        <w:rPr>
          <w:rFonts w:ascii="Arial Narrow" w:hAnsi="Arial Narrow" w:cstheme="minorHAnsi"/>
          <w:sz w:val="22"/>
          <w:szCs w:val="22"/>
        </w:rPr>
        <w:t xml:space="preserve"> </w:t>
      </w:r>
    </w:p>
    <w:p w14:paraId="6722A5F7" w14:textId="77777777" w:rsidR="00DB459C" w:rsidRPr="00E04B8A" w:rsidRDefault="00DB459C" w:rsidP="00E04B8A">
      <w:pPr>
        <w:ind w:right="256"/>
        <w:rPr>
          <w:rFonts w:asciiTheme="minorHAnsi" w:hAnsiTheme="minorHAnsi" w:cstheme="minorHAnsi"/>
          <w:sz w:val="22"/>
          <w:szCs w:val="22"/>
          <w:u w:val="single"/>
        </w:rPr>
      </w:pPr>
    </w:p>
    <w:sectPr w:rsidR="00DB459C" w:rsidRPr="00E04B8A" w:rsidSect="002810C5"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56B79" w14:textId="77777777" w:rsidR="00A23D33" w:rsidRDefault="00A23D33">
      <w:r>
        <w:separator/>
      </w:r>
    </w:p>
  </w:endnote>
  <w:endnote w:type="continuationSeparator" w:id="0">
    <w:p w14:paraId="5F7501A9" w14:textId="77777777" w:rsidR="00A23D33" w:rsidRDefault="00A2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CF725" w14:textId="77777777" w:rsidR="00A23D33" w:rsidRDefault="00A23D33">
      <w:r>
        <w:separator/>
      </w:r>
    </w:p>
  </w:footnote>
  <w:footnote w:type="continuationSeparator" w:id="0">
    <w:p w14:paraId="34D69A09" w14:textId="77777777" w:rsidR="00A23D33" w:rsidRDefault="00A2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40A1"/>
    <w:multiLevelType w:val="hybridMultilevel"/>
    <w:tmpl w:val="525E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28E"/>
    <w:multiLevelType w:val="hybridMultilevel"/>
    <w:tmpl w:val="25F45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E6E"/>
    <w:multiLevelType w:val="hybridMultilevel"/>
    <w:tmpl w:val="A3989E3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50A"/>
    <w:multiLevelType w:val="hybridMultilevel"/>
    <w:tmpl w:val="0A7A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4D2"/>
    <w:multiLevelType w:val="hybridMultilevel"/>
    <w:tmpl w:val="4510C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03CCE"/>
    <w:multiLevelType w:val="hybridMultilevel"/>
    <w:tmpl w:val="A590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C0317B"/>
    <w:multiLevelType w:val="hybridMultilevel"/>
    <w:tmpl w:val="01429718"/>
    <w:lvl w:ilvl="0" w:tplc="09E8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3466AA3"/>
    <w:multiLevelType w:val="hybridMultilevel"/>
    <w:tmpl w:val="990A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0A2"/>
    <w:multiLevelType w:val="hybridMultilevel"/>
    <w:tmpl w:val="167C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D43B3"/>
    <w:multiLevelType w:val="hybridMultilevel"/>
    <w:tmpl w:val="A1CA2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613BF"/>
    <w:multiLevelType w:val="hybridMultilevel"/>
    <w:tmpl w:val="5B14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E051D"/>
    <w:multiLevelType w:val="hybridMultilevel"/>
    <w:tmpl w:val="C79E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7760A"/>
    <w:multiLevelType w:val="hybridMultilevel"/>
    <w:tmpl w:val="4ED6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D4BB7"/>
    <w:multiLevelType w:val="hybridMultilevel"/>
    <w:tmpl w:val="06287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E097C"/>
    <w:multiLevelType w:val="hybridMultilevel"/>
    <w:tmpl w:val="0370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45BB2"/>
    <w:multiLevelType w:val="hybridMultilevel"/>
    <w:tmpl w:val="29CA9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004"/>
    <w:multiLevelType w:val="hybridMultilevel"/>
    <w:tmpl w:val="99C8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37B7"/>
    <w:multiLevelType w:val="hybridMultilevel"/>
    <w:tmpl w:val="26C25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10F05D9"/>
    <w:multiLevelType w:val="hybridMultilevel"/>
    <w:tmpl w:val="2A2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57C4E"/>
    <w:multiLevelType w:val="hybridMultilevel"/>
    <w:tmpl w:val="070E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B00CA"/>
    <w:multiLevelType w:val="hybridMultilevel"/>
    <w:tmpl w:val="05B65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0F44"/>
    <w:multiLevelType w:val="hybridMultilevel"/>
    <w:tmpl w:val="9E90873C"/>
    <w:lvl w:ilvl="0" w:tplc="09E8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5164D5B"/>
    <w:multiLevelType w:val="hybridMultilevel"/>
    <w:tmpl w:val="C574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E194E"/>
    <w:multiLevelType w:val="hybridMultilevel"/>
    <w:tmpl w:val="EED8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32199"/>
    <w:multiLevelType w:val="hybridMultilevel"/>
    <w:tmpl w:val="258E0E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301CA"/>
    <w:multiLevelType w:val="hybridMultilevel"/>
    <w:tmpl w:val="BA920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444BD"/>
    <w:multiLevelType w:val="hybridMultilevel"/>
    <w:tmpl w:val="9A64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C62E7"/>
    <w:multiLevelType w:val="hybridMultilevel"/>
    <w:tmpl w:val="2CECB720"/>
    <w:lvl w:ilvl="0" w:tplc="09E871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B400925"/>
    <w:multiLevelType w:val="hybridMultilevel"/>
    <w:tmpl w:val="1108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62822">
    <w:abstractNumId w:val="17"/>
  </w:num>
  <w:num w:numId="2" w16cid:durableId="29960292">
    <w:abstractNumId w:val="25"/>
  </w:num>
  <w:num w:numId="3" w16cid:durableId="38361465">
    <w:abstractNumId w:val="20"/>
  </w:num>
  <w:num w:numId="4" w16cid:durableId="1272737940">
    <w:abstractNumId w:val="15"/>
  </w:num>
  <w:num w:numId="5" w16cid:durableId="2031444475">
    <w:abstractNumId w:val="6"/>
  </w:num>
  <w:num w:numId="6" w16cid:durableId="1162503954">
    <w:abstractNumId w:val="27"/>
  </w:num>
  <w:num w:numId="7" w16cid:durableId="623773214">
    <w:abstractNumId w:val="21"/>
  </w:num>
  <w:num w:numId="8" w16cid:durableId="1644775714">
    <w:abstractNumId w:val="1"/>
  </w:num>
  <w:num w:numId="9" w16cid:durableId="704790287">
    <w:abstractNumId w:val="24"/>
  </w:num>
  <w:num w:numId="10" w16cid:durableId="1339964257">
    <w:abstractNumId w:val="16"/>
  </w:num>
  <w:num w:numId="11" w16cid:durableId="522942208">
    <w:abstractNumId w:val="12"/>
  </w:num>
  <w:num w:numId="12" w16cid:durableId="800851304">
    <w:abstractNumId w:val="11"/>
  </w:num>
  <w:num w:numId="13" w16cid:durableId="924193184">
    <w:abstractNumId w:val="23"/>
  </w:num>
  <w:num w:numId="14" w16cid:durableId="355161557">
    <w:abstractNumId w:val="7"/>
  </w:num>
  <w:num w:numId="15" w16cid:durableId="927662377">
    <w:abstractNumId w:val="14"/>
  </w:num>
  <w:num w:numId="16" w16cid:durableId="1306395173">
    <w:abstractNumId w:val="9"/>
  </w:num>
  <w:num w:numId="17" w16cid:durableId="983433621">
    <w:abstractNumId w:val="5"/>
  </w:num>
  <w:num w:numId="18" w16cid:durableId="769355329">
    <w:abstractNumId w:val="4"/>
  </w:num>
  <w:num w:numId="19" w16cid:durableId="1812870567">
    <w:abstractNumId w:val="0"/>
  </w:num>
  <w:num w:numId="20" w16cid:durableId="822964444">
    <w:abstractNumId w:val="2"/>
  </w:num>
  <w:num w:numId="21" w16cid:durableId="2056851762">
    <w:abstractNumId w:val="28"/>
  </w:num>
  <w:num w:numId="22" w16cid:durableId="1739092962">
    <w:abstractNumId w:val="13"/>
  </w:num>
  <w:num w:numId="23" w16cid:durableId="1120803593">
    <w:abstractNumId w:val="22"/>
  </w:num>
  <w:num w:numId="24" w16cid:durableId="1420909620">
    <w:abstractNumId w:val="18"/>
  </w:num>
  <w:num w:numId="25" w16cid:durableId="683482269">
    <w:abstractNumId w:val="26"/>
  </w:num>
  <w:num w:numId="26" w16cid:durableId="1033575734">
    <w:abstractNumId w:val="19"/>
  </w:num>
  <w:num w:numId="27" w16cid:durableId="1929077533">
    <w:abstractNumId w:val="3"/>
  </w:num>
  <w:num w:numId="28" w16cid:durableId="1578369541">
    <w:abstractNumId w:val="10"/>
  </w:num>
  <w:num w:numId="29" w16cid:durableId="1590114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86"/>
    <w:rsid w:val="00000F49"/>
    <w:rsid w:val="0000255D"/>
    <w:rsid w:val="00004678"/>
    <w:rsid w:val="00007DA3"/>
    <w:rsid w:val="00011BBF"/>
    <w:rsid w:val="00012A01"/>
    <w:rsid w:val="00015476"/>
    <w:rsid w:val="00030B62"/>
    <w:rsid w:val="00032A36"/>
    <w:rsid w:val="000376FB"/>
    <w:rsid w:val="00037DDB"/>
    <w:rsid w:val="000416F8"/>
    <w:rsid w:val="0004280D"/>
    <w:rsid w:val="00054AA5"/>
    <w:rsid w:val="00057281"/>
    <w:rsid w:val="00057A5D"/>
    <w:rsid w:val="00061C1C"/>
    <w:rsid w:val="000728A3"/>
    <w:rsid w:val="00072A3D"/>
    <w:rsid w:val="00073AAD"/>
    <w:rsid w:val="0007449A"/>
    <w:rsid w:val="0008158E"/>
    <w:rsid w:val="00083945"/>
    <w:rsid w:val="00085A92"/>
    <w:rsid w:val="00091DD2"/>
    <w:rsid w:val="000963FF"/>
    <w:rsid w:val="000A0459"/>
    <w:rsid w:val="000A1A31"/>
    <w:rsid w:val="000A2A5F"/>
    <w:rsid w:val="000A3833"/>
    <w:rsid w:val="000A54A1"/>
    <w:rsid w:val="000A7346"/>
    <w:rsid w:val="000B18F6"/>
    <w:rsid w:val="000B2D7A"/>
    <w:rsid w:val="000B5208"/>
    <w:rsid w:val="000B62AA"/>
    <w:rsid w:val="000C3A76"/>
    <w:rsid w:val="000C6576"/>
    <w:rsid w:val="000C7CDC"/>
    <w:rsid w:val="000D3EF8"/>
    <w:rsid w:val="000D64AD"/>
    <w:rsid w:val="000D709B"/>
    <w:rsid w:val="000D75B1"/>
    <w:rsid w:val="000E47BA"/>
    <w:rsid w:val="000E5920"/>
    <w:rsid w:val="000F374A"/>
    <w:rsid w:val="000F5A51"/>
    <w:rsid w:val="000F5D39"/>
    <w:rsid w:val="000F6DDB"/>
    <w:rsid w:val="000F7144"/>
    <w:rsid w:val="00100DEC"/>
    <w:rsid w:val="00101DF8"/>
    <w:rsid w:val="00103BA7"/>
    <w:rsid w:val="0011314D"/>
    <w:rsid w:val="0012414A"/>
    <w:rsid w:val="00126732"/>
    <w:rsid w:val="00130AA8"/>
    <w:rsid w:val="00135EB3"/>
    <w:rsid w:val="00135EDA"/>
    <w:rsid w:val="00145C08"/>
    <w:rsid w:val="001504D5"/>
    <w:rsid w:val="00160C53"/>
    <w:rsid w:val="00163453"/>
    <w:rsid w:val="001660E5"/>
    <w:rsid w:val="00173D46"/>
    <w:rsid w:val="00176ABE"/>
    <w:rsid w:val="001815CB"/>
    <w:rsid w:val="00181C49"/>
    <w:rsid w:val="00182D97"/>
    <w:rsid w:val="00182EA4"/>
    <w:rsid w:val="00186051"/>
    <w:rsid w:val="00195E16"/>
    <w:rsid w:val="00196393"/>
    <w:rsid w:val="00196649"/>
    <w:rsid w:val="001A0258"/>
    <w:rsid w:val="001A0BC4"/>
    <w:rsid w:val="001A1732"/>
    <w:rsid w:val="001A1A45"/>
    <w:rsid w:val="001A2D27"/>
    <w:rsid w:val="001A67A8"/>
    <w:rsid w:val="001A6FA0"/>
    <w:rsid w:val="001B1478"/>
    <w:rsid w:val="001B1A1C"/>
    <w:rsid w:val="001B4FE4"/>
    <w:rsid w:val="001C2E75"/>
    <w:rsid w:val="001C3101"/>
    <w:rsid w:val="001C6D57"/>
    <w:rsid w:val="001D03A2"/>
    <w:rsid w:val="001D5B02"/>
    <w:rsid w:val="001D6890"/>
    <w:rsid w:val="001D752A"/>
    <w:rsid w:val="001D7C4C"/>
    <w:rsid w:val="001E0392"/>
    <w:rsid w:val="001E1DF2"/>
    <w:rsid w:val="001E423A"/>
    <w:rsid w:val="001E5F91"/>
    <w:rsid w:val="001F3B49"/>
    <w:rsid w:val="001F516E"/>
    <w:rsid w:val="001F65F6"/>
    <w:rsid w:val="00206B68"/>
    <w:rsid w:val="00211923"/>
    <w:rsid w:val="00211FF3"/>
    <w:rsid w:val="00212424"/>
    <w:rsid w:val="002128B6"/>
    <w:rsid w:val="00212D8A"/>
    <w:rsid w:val="00220562"/>
    <w:rsid w:val="002259C4"/>
    <w:rsid w:val="002267A7"/>
    <w:rsid w:val="002300BA"/>
    <w:rsid w:val="002319BA"/>
    <w:rsid w:val="00232E89"/>
    <w:rsid w:val="002366AC"/>
    <w:rsid w:val="00247094"/>
    <w:rsid w:val="00253006"/>
    <w:rsid w:val="00253BA3"/>
    <w:rsid w:val="00256F45"/>
    <w:rsid w:val="002608F4"/>
    <w:rsid w:val="002654B4"/>
    <w:rsid w:val="00266F9B"/>
    <w:rsid w:val="0027137B"/>
    <w:rsid w:val="002810C5"/>
    <w:rsid w:val="00281856"/>
    <w:rsid w:val="002829F3"/>
    <w:rsid w:val="0028543E"/>
    <w:rsid w:val="002858E2"/>
    <w:rsid w:val="00285CA7"/>
    <w:rsid w:val="00285DEA"/>
    <w:rsid w:val="00285F6C"/>
    <w:rsid w:val="00287873"/>
    <w:rsid w:val="00290AF8"/>
    <w:rsid w:val="002921E0"/>
    <w:rsid w:val="00292A68"/>
    <w:rsid w:val="00295C6E"/>
    <w:rsid w:val="002A3601"/>
    <w:rsid w:val="002B0801"/>
    <w:rsid w:val="002B0F92"/>
    <w:rsid w:val="002B0FDC"/>
    <w:rsid w:val="002B1850"/>
    <w:rsid w:val="002B27AD"/>
    <w:rsid w:val="002B3964"/>
    <w:rsid w:val="002B3BE9"/>
    <w:rsid w:val="002C18AD"/>
    <w:rsid w:val="002C1FF1"/>
    <w:rsid w:val="002C38E8"/>
    <w:rsid w:val="002C5831"/>
    <w:rsid w:val="002C657E"/>
    <w:rsid w:val="002C6BD6"/>
    <w:rsid w:val="002D53CA"/>
    <w:rsid w:val="002D6E8A"/>
    <w:rsid w:val="002E1ED6"/>
    <w:rsid w:val="002E4924"/>
    <w:rsid w:val="002E5393"/>
    <w:rsid w:val="002F1823"/>
    <w:rsid w:val="002F297F"/>
    <w:rsid w:val="002F39AF"/>
    <w:rsid w:val="00302772"/>
    <w:rsid w:val="00304F84"/>
    <w:rsid w:val="003062A8"/>
    <w:rsid w:val="0030702A"/>
    <w:rsid w:val="00313935"/>
    <w:rsid w:val="00313BE7"/>
    <w:rsid w:val="00314638"/>
    <w:rsid w:val="003153E8"/>
    <w:rsid w:val="00316233"/>
    <w:rsid w:val="00316AFB"/>
    <w:rsid w:val="00317BA2"/>
    <w:rsid w:val="0032449F"/>
    <w:rsid w:val="00324BE5"/>
    <w:rsid w:val="00325A1A"/>
    <w:rsid w:val="00334030"/>
    <w:rsid w:val="003362AC"/>
    <w:rsid w:val="0034228B"/>
    <w:rsid w:val="00342F3F"/>
    <w:rsid w:val="0034369D"/>
    <w:rsid w:val="00347C9E"/>
    <w:rsid w:val="00357A57"/>
    <w:rsid w:val="00363B3A"/>
    <w:rsid w:val="00363C5F"/>
    <w:rsid w:val="003647E1"/>
    <w:rsid w:val="00364C04"/>
    <w:rsid w:val="00365DA8"/>
    <w:rsid w:val="00375B6D"/>
    <w:rsid w:val="00377014"/>
    <w:rsid w:val="0038114C"/>
    <w:rsid w:val="00385C1C"/>
    <w:rsid w:val="00391555"/>
    <w:rsid w:val="0039253B"/>
    <w:rsid w:val="00392C37"/>
    <w:rsid w:val="00393316"/>
    <w:rsid w:val="00396F71"/>
    <w:rsid w:val="003A2987"/>
    <w:rsid w:val="003B07D4"/>
    <w:rsid w:val="003B1471"/>
    <w:rsid w:val="003B19ED"/>
    <w:rsid w:val="003B3E36"/>
    <w:rsid w:val="003B3EE1"/>
    <w:rsid w:val="003B47B0"/>
    <w:rsid w:val="003B52BE"/>
    <w:rsid w:val="003B5336"/>
    <w:rsid w:val="003C0DB6"/>
    <w:rsid w:val="003C1289"/>
    <w:rsid w:val="003C4BC5"/>
    <w:rsid w:val="003D00EE"/>
    <w:rsid w:val="003D2554"/>
    <w:rsid w:val="003D3273"/>
    <w:rsid w:val="003D42A4"/>
    <w:rsid w:val="003E354F"/>
    <w:rsid w:val="003E3705"/>
    <w:rsid w:val="003E441C"/>
    <w:rsid w:val="003E687D"/>
    <w:rsid w:val="003F0982"/>
    <w:rsid w:val="003F3543"/>
    <w:rsid w:val="00400CB4"/>
    <w:rsid w:val="00402DB0"/>
    <w:rsid w:val="0040393A"/>
    <w:rsid w:val="004042BE"/>
    <w:rsid w:val="004068F7"/>
    <w:rsid w:val="0041698F"/>
    <w:rsid w:val="00420086"/>
    <w:rsid w:val="00420CFA"/>
    <w:rsid w:val="00425659"/>
    <w:rsid w:val="0043014D"/>
    <w:rsid w:val="00431537"/>
    <w:rsid w:val="0043233D"/>
    <w:rsid w:val="004329C1"/>
    <w:rsid w:val="00435F0E"/>
    <w:rsid w:val="00436198"/>
    <w:rsid w:val="0045264E"/>
    <w:rsid w:val="00452C62"/>
    <w:rsid w:val="004540D3"/>
    <w:rsid w:val="00460ACD"/>
    <w:rsid w:val="00460F07"/>
    <w:rsid w:val="00463FB7"/>
    <w:rsid w:val="00466C71"/>
    <w:rsid w:val="00472F09"/>
    <w:rsid w:val="0048112B"/>
    <w:rsid w:val="004826C0"/>
    <w:rsid w:val="00484197"/>
    <w:rsid w:val="00484315"/>
    <w:rsid w:val="004845AF"/>
    <w:rsid w:val="00486B7C"/>
    <w:rsid w:val="00491C61"/>
    <w:rsid w:val="00492DC1"/>
    <w:rsid w:val="004949AA"/>
    <w:rsid w:val="004A5946"/>
    <w:rsid w:val="004A5CF8"/>
    <w:rsid w:val="004B6538"/>
    <w:rsid w:val="004B730F"/>
    <w:rsid w:val="004C2BC2"/>
    <w:rsid w:val="004C529B"/>
    <w:rsid w:val="004C5C98"/>
    <w:rsid w:val="004D162F"/>
    <w:rsid w:val="004D27A1"/>
    <w:rsid w:val="004D2B10"/>
    <w:rsid w:val="004D3324"/>
    <w:rsid w:val="004E0FAA"/>
    <w:rsid w:val="004E1BCD"/>
    <w:rsid w:val="004E32A6"/>
    <w:rsid w:val="004E4874"/>
    <w:rsid w:val="004E5C38"/>
    <w:rsid w:val="004E6A68"/>
    <w:rsid w:val="004F224E"/>
    <w:rsid w:val="004F3C07"/>
    <w:rsid w:val="00500808"/>
    <w:rsid w:val="005019E1"/>
    <w:rsid w:val="005021DF"/>
    <w:rsid w:val="00504BF5"/>
    <w:rsid w:val="005057F9"/>
    <w:rsid w:val="00510649"/>
    <w:rsid w:val="00512FE0"/>
    <w:rsid w:val="0051446F"/>
    <w:rsid w:val="005148C1"/>
    <w:rsid w:val="00515E89"/>
    <w:rsid w:val="005207D1"/>
    <w:rsid w:val="00520C8B"/>
    <w:rsid w:val="00521442"/>
    <w:rsid w:val="00524B7C"/>
    <w:rsid w:val="00534354"/>
    <w:rsid w:val="00537A97"/>
    <w:rsid w:val="00547852"/>
    <w:rsid w:val="0055098B"/>
    <w:rsid w:val="00553DE8"/>
    <w:rsid w:val="00553FA6"/>
    <w:rsid w:val="0056200D"/>
    <w:rsid w:val="005623A9"/>
    <w:rsid w:val="00563196"/>
    <w:rsid w:val="00570103"/>
    <w:rsid w:val="005735ED"/>
    <w:rsid w:val="00590DDB"/>
    <w:rsid w:val="00591970"/>
    <w:rsid w:val="005963C7"/>
    <w:rsid w:val="005964F8"/>
    <w:rsid w:val="00596760"/>
    <w:rsid w:val="00597B73"/>
    <w:rsid w:val="00597CF1"/>
    <w:rsid w:val="005A1521"/>
    <w:rsid w:val="005A377A"/>
    <w:rsid w:val="005A3B54"/>
    <w:rsid w:val="005B08EA"/>
    <w:rsid w:val="005B21D5"/>
    <w:rsid w:val="005B2360"/>
    <w:rsid w:val="005B2CC1"/>
    <w:rsid w:val="005B560B"/>
    <w:rsid w:val="005B7BE8"/>
    <w:rsid w:val="005E07EA"/>
    <w:rsid w:val="005E1D53"/>
    <w:rsid w:val="005E3893"/>
    <w:rsid w:val="005E3C07"/>
    <w:rsid w:val="005E666D"/>
    <w:rsid w:val="005E7E27"/>
    <w:rsid w:val="005F06FB"/>
    <w:rsid w:val="005F25BE"/>
    <w:rsid w:val="005F3C2E"/>
    <w:rsid w:val="005F4D1C"/>
    <w:rsid w:val="0060241C"/>
    <w:rsid w:val="00603A2F"/>
    <w:rsid w:val="00605DD7"/>
    <w:rsid w:val="00607148"/>
    <w:rsid w:val="00610803"/>
    <w:rsid w:val="00614159"/>
    <w:rsid w:val="00614F0E"/>
    <w:rsid w:val="00614FA9"/>
    <w:rsid w:val="006158DA"/>
    <w:rsid w:val="00617E05"/>
    <w:rsid w:val="00621711"/>
    <w:rsid w:val="006228CD"/>
    <w:rsid w:val="00623477"/>
    <w:rsid w:val="00623498"/>
    <w:rsid w:val="006241E0"/>
    <w:rsid w:val="00624C00"/>
    <w:rsid w:val="0064101E"/>
    <w:rsid w:val="00650FA4"/>
    <w:rsid w:val="00651CE6"/>
    <w:rsid w:val="006545F2"/>
    <w:rsid w:val="00654886"/>
    <w:rsid w:val="00656D77"/>
    <w:rsid w:val="00661D72"/>
    <w:rsid w:val="00662D3B"/>
    <w:rsid w:val="0066371B"/>
    <w:rsid w:val="00666455"/>
    <w:rsid w:val="006670B3"/>
    <w:rsid w:val="006717D9"/>
    <w:rsid w:val="006739D8"/>
    <w:rsid w:val="006809F4"/>
    <w:rsid w:val="006810DC"/>
    <w:rsid w:val="00681F83"/>
    <w:rsid w:val="006852F3"/>
    <w:rsid w:val="006906AC"/>
    <w:rsid w:val="006906DB"/>
    <w:rsid w:val="006913B5"/>
    <w:rsid w:val="00691630"/>
    <w:rsid w:val="006949B7"/>
    <w:rsid w:val="006977AF"/>
    <w:rsid w:val="006A1786"/>
    <w:rsid w:val="006A622A"/>
    <w:rsid w:val="006A6A6B"/>
    <w:rsid w:val="006B076C"/>
    <w:rsid w:val="006B51A8"/>
    <w:rsid w:val="006B6378"/>
    <w:rsid w:val="006C0A36"/>
    <w:rsid w:val="006C1518"/>
    <w:rsid w:val="006C4337"/>
    <w:rsid w:val="006C551A"/>
    <w:rsid w:val="006D0BA9"/>
    <w:rsid w:val="006D0D2D"/>
    <w:rsid w:val="006D4A1F"/>
    <w:rsid w:val="006D728E"/>
    <w:rsid w:val="006E0DE4"/>
    <w:rsid w:val="006E6106"/>
    <w:rsid w:val="006F3CDC"/>
    <w:rsid w:val="006F6376"/>
    <w:rsid w:val="007025BB"/>
    <w:rsid w:val="00705E8B"/>
    <w:rsid w:val="00712CDF"/>
    <w:rsid w:val="00714A20"/>
    <w:rsid w:val="00720100"/>
    <w:rsid w:val="00720229"/>
    <w:rsid w:val="00721FAE"/>
    <w:rsid w:val="00737279"/>
    <w:rsid w:val="0074382A"/>
    <w:rsid w:val="0074517D"/>
    <w:rsid w:val="00752D8F"/>
    <w:rsid w:val="00761388"/>
    <w:rsid w:val="00763150"/>
    <w:rsid w:val="007738E7"/>
    <w:rsid w:val="00773A21"/>
    <w:rsid w:val="00774383"/>
    <w:rsid w:val="00775C84"/>
    <w:rsid w:val="007763B9"/>
    <w:rsid w:val="00776967"/>
    <w:rsid w:val="00780B39"/>
    <w:rsid w:val="007842C0"/>
    <w:rsid w:val="007903C2"/>
    <w:rsid w:val="00796654"/>
    <w:rsid w:val="00796832"/>
    <w:rsid w:val="007A0E80"/>
    <w:rsid w:val="007A4126"/>
    <w:rsid w:val="007B09A4"/>
    <w:rsid w:val="007C4184"/>
    <w:rsid w:val="007C68A6"/>
    <w:rsid w:val="007C68BA"/>
    <w:rsid w:val="007D246B"/>
    <w:rsid w:val="007D5FA8"/>
    <w:rsid w:val="007D7C4B"/>
    <w:rsid w:val="007E01F2"/>
    <w:rsid w:val="007E50A4"/>
    <w:rsid w:val="007E6E86"/>
    <w:rsid w:val="007F2F6F"/>
    <w:rsid w:val="007F33E5"/>
    <w:rsid w:val="007F3E82"/>
    <w:rsid w:val="007F404C"/>
    <w:rsid w:val="007F43C0"/>
    <w:rsid w:val="007F647E"/>
    <w:rsid w:val="007F7753"/>
    <w:rsid w:val="007F7C30"/>
    <w:rsid w:val="0081014D"/>
    <w:rsid w:val="00815F96"/>
    <w:rsid w:val="0082023D"/>
    <w:rsid w:val="00821A7E"/>
    <w:rsid w:val="008306D5"/>
    <w:rsid w:val="00834D15"/>
    <w:rsid w:val="0083584B"/>
    <w:rsid w:val="00835B49"/>
    <w:rsid w:val="0084480C"/>
    <w:rsid w:val="008477BB"/>
    <w:rsid w:val="00847D1F"/>
    <w:rsid w:val="008504D3"/>
    <w:rsid w:val="00852FC5"/>
    <w:rsid w:val="00856650"/>
    <w:rsid w:val="00872D3D"/>
    <w:rsid w:val="008747A7"/>
    <w:rsid w:val="00874DEA"/>
    <w:rsid w:val="00875625"/>
    <w:rsid w:val="00880485"/>
    <w:rsid w:val="008806DB"/>
    <w:rsid w:val="0088464A"/>
    <w:rsid w:val="00890D7D"/>
    <w:rsid w:val="00892BC1"/>
    <w:rsid w:val="008934FF"/>
    <w:rsid w:val="008A43BA"/>
    <w:rsid w:val="008B2B41"/>
    <w:rsid w:val="008B30EE"/>
    <w:rsid w:val="008B522D"/>
    <w:rsid w:val="008B7FC5"/>
    <w:rsid w:val="008C4AEA"/>
    <w:rsid w:val="008C5B86"/>
    <w:rsid w:val="008D073D"/>
    <w:rsid w:val="008D1449"/>
    <w:rsid w:val="008D279A"/>
    <w:rsid w:val="008E04D3"/>
    <w:rsid w:val="008E47AB"/>
    <w:rsid w:val="008E64BF"/>
    <w:rsid w:val="008F1AAB"/>
    <w:rsid w:val="008F2D1A"/>
    <w:rsid w:val="008F3709"/>
    <w:rsid w:val="008F618C"/>
    <w:rsid w:val="00900EC2"/>
    <w:rsid w:val="00902A3E"/>
    <w:rsid w:val="00904966"/>
    <w:rsid w:val="00904EA9"/>
    <w:rsid w:val="0090723C"/>
    <w:rsid w:val="00913CEE"/>
    <w:rsid w:val="009168D0"/>
    <w:rsid w:val="00920256"/>
    <w:rsid w:val="00921CFD"/>
    <w:rsid w:val="0093081E"/>
    <w:rsid w:val="00931B9F"/>
    <w:rsid w:val="009350F5"/>
    <w:rsid w:val="009367BB"/>
    <w:rsid w:val="009372F2"/>
    <w:rsid w:val="00942F92"/>
    <w:rsid w:val="0094311B"/>
    <w:rsid w:val="00943974"/>
    <w:rsid w:val="00946FE6"/>
    <w:rsid w:val="00947410"/>
    <w:rsid w:val="0095071C"/>
    <w:rsid w:val="00954AA4"/>
    <w:rsid w:val="00954DBE"/>
    <w:rsid w:val="00962798"/>
    <w:rsid w:val="00962815"/>
    <w:rsid w:val="00963170"/>
    <w:rsid w:val="00967568"/>
    <w:rsid w:val="00972CE2"/>
    <w:rsid w:val="0097572A"/>
    <w:rsid w:val="009813A8"/>
    <w:rsid w:val="009813CE"/>
    <w:rsid w:val="0098146D"/>
    <w:rsid w:val="00982374"/>
    <w:rsid w:val="00984B9C"/>
    <w:rsid w:val="009909E5"/>
    <w:rsid w:val="009923C8"/>
    <w:rsid w:val="0099521E"/>
    <w:rsid w:val="00995886"/>
    <w:rsid w:val="009A4490"/>
    <w:rsid w:val="009A47F9"/>
    <w:rsid w:val="009A4B8D"/>
    <w:rsid w:val="009B0112"/>
    <w:rsid w:val="009B1781"/>
    <w:rsid w:val="009B4EFA"/>
    <w:rsid w:val="009C0DCC"/>
    <w:rsid w:val="009C6A77"/>
    <w:rsid w:val="009C6D30"/>
    <w:rsid w:val="009D1B9B"/>
    <w:rsid w:val="009D20FB"/>
    <w:rsid w:val="009D521E"/>
    <w:rsid w:val="009D5696"/>
    <w:rsid w:val="009D7976"/>
    <w:rsid w:val="009E41D5"/>
    <w:rsid w:val="009E5ACB"/>
    <w:rsid w:val="009F0274"/>
    <w:rsid w:val="009F078B"/>
    <w:rsid w:val="009F0FAA"/>
    <w:rsid w:val="009F1B86"/>
    <w:rsid w:val="009F1BFA"/>
    <w:rsid w:val="009F27C3"/>
    <w:rsid w:val="009F354B"/>
    <w:rsid w:val="009F7102"/>
    <w:rsid w:val="00A047B2"/>
    <w:rsid w:val="00A0530C"/>
    <w:rsid w:val="00A10D73"/>
    <w:rsid w:val="00A123C7"/>
    <w:rsid w:val="00A13D54"/>
    <w:rsid w:val="00A168F6"/>
    <w:rsid w:val="00A16CB0"/>
    <w:rsid w:val="00A20BAD"/>
    <w:rsid w:val="00A23D33"/>
    <w:rsid w:val="00A24C08"/>
    <w:rsid w:val="00A26C6A"/>
    <w:rsid w:val="00A26F84"/>
    <w:rsid w:val="00A3022A"/>
    <w:rsid w:val="00A30429"/>
    <w:rsid w:val="00A33D7B"/>
    <w:rsid w:val="00A34221"/>
    <w:rsid w:val="00A36287"/>
    <w:rsid w:val="00A402B4"/>
    <w:rsid w:val="00A4389B"/>
    <w:rsid w:val="00A46AAB"/>
    <w:rsid w:val="00A50542"/>
    <w:rsid w:val="00A5063F"/>
    <w:rsid w:val="00A5282D"/>
    <w:rsid w:val="00A52B2D"/>
    <w:rsid w:val="00A55DB2"/>
    <w:rsid w:val="00A56D9C"/>
    <w:rsid w:val="00A61B7F"/>
    <w:rsid w:val="00A6301C"/>
    <w:rsid w:val="00A636F3"/>
    <w:rsid w:val="00A67A55"/>
    <w:rsid w:val="00A67EA5"/>
    <w:rsid w:val="00A7515F"/>
    <w:rsid w:val="00A755B4"/>
    <w:rsid w:val="00A76212"/>
    <w:rsid w:val="00A77C5B"/>
    <w:rsid w:val="00A80774"/>
    <w:rsid w:val="00A814AB"/>
    <w:rsid w:val="00A84162"/>
    <w:rsid w:val="00A85106"/>
    <w:rsid w:val="00A91AA9"/>
    <w:rsid w:val="00A931AD"/>
    <w:rsid w:val="00A944F5"/>
    <w:rsid w:val="00A96BCB"/>
    <w:rsid w:val="00AA064A"/>
    <w:rsid w:val="00AA0D8A"/>
    <w:rsid w:val="00AA4BE1"/>
    <w:rsid w:val="00AA66D0"/>
    <w:rsid w:val="00AB10CE"/>
    <w:rsid w:val="00AB4735"/>
    <w:rsid w:val="00AB72C6"/>
    <w:rsid w:val="00AB7341"/>
    <w:rsid w:val="00AC082C"/>
    <w:rsid w:val="00AC0896"/>
    <w:rsid w:val="00AC08C0"/>
    <w:rsid w:val="00AC63F2"/>
    <w:rsid w:val="00AD1ABD"/>
    <w:rsid w:val="00AD27E4"/>
    <w:rsid w:val="00AD293C"/>
    <w:rsid w:val="00AD481F"/>
    <w:rsid w:val="00AD4DFF"/>
    <w:rsid w:val="00AD5625"/>
    <w:rsid w:val="00AF0515"/>
    <w:rsid w:val="00AF3477"/>
    <w:rsid w:val="00AF5200"/>
    <w:rsid w:val="00B00441"/>
    <w:rsid w:val="00B00DE2"/>
    <w:rsid w:val="00B10A7C"/>
    <w:rsid w:val="00B1114D"/>
    <w:rsid w:val="00B12EE5"/>
    <w:rsid w:val="00B1691D"/>
    <w:rsid w:val="00B21944"/>
    <w:rsid w:val="00B23359"/>
    <w:rsid w:val="00B25F82"/>
    <w:rsid w:val="00B30DCD"/>
    <w:rsid w:val="00B45C07"/>
    <w:rsid w:val="00B509C3"/>
    <w:rsid w:val="00B51313"/>
    <w:rsid w:val="00B60B8C"/>
    <w:rsid w:val="00B772FD"/>
    <w:rsid w:val="00B80477"/>
    <w:rsid w:val="00B831CE"/>
    <w:rsid w:val="00B845BF"/>
    <w:rsid w:val="00B8606E"/>
    <w:rsid w:val="00B928A6"/>
    <w:rsid w:val="00B95C54"/>
    <w:rsid w:val="00B9661A"/>
    <w:rsid w:val="00BA0534"/>
    <w:rsid w:val="00BA08FC"/>
    <w:rsid w:val="00BA1230"/>
    <w:rsid w:val="00BA4934"/>
    <w:rsid w:val="00BB6DA4"/>
    <w:rsid w:val="00BC5020"/>
    <w:rsid w:val="00BD1AB9"/>
    <w:rsid w:val="00BD2497"/>
    <w:rsid w:val="00BD736F"/>
    <w:rsid w:val="00BE2A68"/>
    <w:rsid w:val="00BF2A90"/>
    <w:rsid w:val="00BF3021"/>
    <w:rsid w:val="00BF3601"/>
    <w:rsid w:val="00BF725C"/>
    <w:rsid w:val="00C0027D"/>
    <w:rsid w:val="00C01941"/>
    <w:rsid w:val="00C02106"/>
    <w:rsid w:val="00C0501D"/>
    <w:rsid w:val="00C12360"/>
    <w:rsid w:val="00C13322"/>
    <w:rsid w:val="00C15726"/>
    <w:rsid w:val="00C22EFF"/>
    <w:rsid w:val="00C2603D"/>
    <w:rsid w:val="00C32639"/>
    <w:rsid w:val="00C4121E"/>
    <w:rsid w:val="00C43511"/>
    <w:rsid w:val="00C45161"/>
    <w:rsid w:val="00C454A9"/>
    <w:rsid w:val="00C4682D"/>
    <w:rsid w:val="00C5124F"/>
    <w:rsid w:val="00C529A4"/>
    <w:rsid w:val="00C6065D"/>
    <w:rsid w:val="00C65E8C"/>
    <w:rsid w:val="00C71E6A"/>
    <w:rsid w:val="00C72318"/>
    <w:rsid w:val="00C73615"/>
    <w:rsid w:val="00C80F3F"/>
    <w:rsid w:val="00C83959"/>
    <w:rsid w:val="00C85881"/>
    <w:rsid w:val="00C943FC"/>
    <w:rsid w:val="00CA3F00"/>
    <w:rsid w:val="00CB06D0"/>
    <w:rsid w:val="00CB5F0D"/>
    <w:rsid w:val="00CC0AA2"/>
    <w:rsid w:val="00CC2AE3"/>
    <w:rsid w:val="00CC4ED4"/>
    <w:rsid w:val="00CC5B09"/>
    <w:rsid w:val="00CC759D"/>
    <w:rsid w:val="00CD1C00"/>
    <w:rsid w:val="00CD2784"/>
    <w:rsid w:val="00CD3A17"/>
    <w:rsid w:val="00CD4E1E"/>
    <w:rsid w:val="00CF55FD"/>
    <w:rsid w:val="00CF592E"/>
    <w:rsid w:val="00D01D20"/>
    <w:rsid w:val="00D03039"/>
    <w:rsid w:val="00D03919"/>
    <w:rsid w:val="00D04EB7"/>
    <w:rsid w:val="00D072BF"/>
    <w:rsid w:val="00D12DE3"/>
    <w:rsid w:val="00D1592C"/>
    <w:rsid w:val="00D24737"/>
    <w:rsid w:val="00D27D80"/>
    <w:rsid w:val="00D31892"/>
    <w:rsid w:val="00D32C84"/>
    <w:rsid w:val="00D33175"/>
    <w:rsid w:val="00D34A76"/>
    <w:rsid w:val="00D350DC"/>
    <w:rsid w:val="00D3792F"/>
    <w:rsid w:val="00D42B61"/>
    <w:rsid w:val="00D433C3"/>
    <w:rsid w:val="00D50A18"/>
    <w:rsid w:val="00D54BA9"/>
    <w:rsid w:val="00D607EA"/>
    <w:rsid w:val="00D62868"/>
    <w:rsid w:val="00D679E5"/>
    <w:rsid w:val="00D76C0E"/>
    <w:rsid w:val="00D843BA"/>
    <w:rsid w:val="00D84B5C"/>
    <w:rsid w:val="00D858A7"/>
    <w:rsid w:val="00D92E38"/>
    <w:rsid w:val="00D961FF"/>
    <w:rsid w:val="00D96F40"/>
    <w:rsid w:val="00DA480F"/>
    <w:rsid w:val="00DA64D7"/>
    <w:rsid w:val="00DB039D"/>
    <w:rsid w:val="00DB0A1B"/>
    <w:rsid w:val="00DB0CED"/>
    <w:rsid w:val="00DB2CF4"/>
    <w:rsid w:val="00DB459C"/>
    <w:rsid w:val="00DB626F"/>
    <w:rsid w:val="00DC009C"/>
    <w:rsid w:val="00DC5C0F"/>
    <w:rsid w:val="00DC6D6D"/>
    <w:rsid w:val="00DC7C8F"/>
    <w:rsid w:val="00DD2980"/>
    <w:rsid w:val="00DD4353"/>
    <w:rsid w:val="00DD4F45"/>
    <w:rsid w:val="00DD6EC8"/>
    <w:rsid w:val="00DE08B4"/>
    <w:rsid w:val="00DE3A45"/>
    <w:rsid w:val="00DE3A73"/>
    <w:rsid w:val="00DE4723"/>
    <w:rsid w:val="00DE56CE"/>
    <w:rsid w:val="00DE7C33"/>
    <w:rsid w:val="00DF1F2B"/>
    <w:rsid w:val="00DF4C98"/>
    <w:rsid w:val="00DF74B0"/>
    <w:rsid w:val="00DF7D50"/>
    <w:rsid w:val="00E00D59"/>
    <w:rsid w:val="00E04B8A"/>
    <w:rsid w:val="00E0748B"/>
    <w:rsid w:val="00E126FC"/>
    <w:rsid w:val="00E13458"/>
    <w:rsid w:val="00E15ADF"/>
    <w:rsid w:val="00E161D9"/>
    <w:rsid w:val="00E20527"/>
    <w:rsid w:val="00E21AE9"/>
    <w:rsid w:val="00E24D7D"/>
    <w:rsid w:val="00E27662"/>
    <w:rsid w:val="00E27D30"/>
    <w:rsid w:val="00E3062C"/>
    <w:rsid w:val="00E33852"/>
    <w:rsid w:val="00E33EA7"/>
    <w:rsid w:val="00E3665D"/>
    <w:rsid w:val="00E36F84"/>
    <w:rsid w:val="00E401BB"/>
    <w:rsid w:val="00E41713"/>
    <w:rsid w:val="00E444DC"/>
    <w:rsid w:val="00E50B00"/>
    <w:rsid w:val="00E50BE9"/>
    <w:rsid w:val="00E5270B"/>
    <w:rsid w:val="00E534E3"/>
    <w:rsid w:val="00E62735"/>
    <w:rsid w:val="00E64BF0"/>
    <w:rsid w:val="00E74F4C"/>
    <w:rsid w:val="00E80A16"/>
    <w:rsid w:val="00E9240F"/>
    <w:rsid w:val="00E929DA"/>
    <w:rsid w:val="00E96B16"/>
    <w:rsid w:val="00EA0C2F"/>
    <w:rsid w:val="00EA12B4"/>
    <w:rsid w:val="00EA4264"/>
    <w:rsid w:val="00EA6E0F"/>
    <w:rsid w:val="00EB1C40"/>
    <w:rsid w:val="00EB2485"/>
    <w:rsid w:val="00EB37A3"/>
    <w:rsid w:val="00EC0727"/>
    <w:rsid w:val="00EC21D4"/>
    <w:rsid w:val="00EC5216"/>
    <w:rsid w:val="00ED01F4"/>
    <w:rsid w:val="00ED233F"/>
    <w:rsid w:val="00ED65D6"/>
    <w:rsid w:val="00ED7B0F"/>
    <w:rsid w:val="00EE39B2"/>
    <w:rsid w:val="00EE6A8C"/>
    <w:rsid w:val="00EF0703"/>
    <w:rsid w:val="00EF0AAD"/>
    <w:rsid w:val="00EF59CD"/>
    <w:rsid w:val="00EF5C92"/>
    <w:rsid w:val="00EF7A86"/>
    <w:rsid w:val="00F004F9"/>
    <w:rsid w:val="00F01A86"/>
    <w:rsid w:val="00F031C4"/>
    <w:rsid w:val="00F10ABC"/>
    <w:rsid w:val="00F110BA"/>
    <w:rsid w:val="00F15A3A"/>
    <w:rsid w:val="00F16D80"/>
    <w:rsid w:val="00F17167"/>
    <w:rsid w:val="00F17E08"/>
    <w:rsid w:val="00F20BE8"/>
    <w:rsid w:val="00F22D98"/>
    <w:rsid w:val="00F302B5"/>
    <w:rsid w:val="00F35E14"/>
    <w:rsid w:val="00F40044"/>
    <w:rsid w:val="00F408FE"/>
    <w:rsid w:val="00F4258D"/>
    <w:rsid w:val="00F43B9C"/>
    <w:rsid w:val="00F46F6E"/>
    <w:rsid w:val="00F47DB1"/>
    <w:rsid w:val="00F50A47"/>
    <w:rsid w:val="00F60707"/>
    <w:rsid w:val="00F6167D"/>
    <w:rsid w:val="00F664FF"/>
    <w:rsid w:val="00F67879"/>
    <w:rsid w:val="00F70FCE"/>
    <w:rsid w:val="00F75005"/>
    <w:rsid w:val="00F75BF4"/>
    <w:rsid w:val="00F76372"/>
    <w:rsid w:val="00F8016A"/>
    <w:rsid w:val="00F825A8"/>
    <w:rsid w:val="00F826FF"/>
    <w:rsid w:val="00F8281C"/>
    <w:rsid w:val="00F838BC"/>
    <w:rsid w:val="00F83CEE"/>
    <w:rsid w:val="00F86BA2"/>
    <w:rsid w:val="00F86DE4"/>
    <w:rsid w:val="00F91611"/>
    <w:rsid w:val="00F91849"/>
    <w:rsid w:val="00FA0B79"/>
    <w:rsid w:val="00FA13B5"/>
    <w:rsid w:val="00FA230E"/>
    <w:rsid w:val="00FA600F"/>
    <w:rsid w:val="00FA66D6"/>
    <w:rsid w:val="00FB0FF0"/>
    <w:rsid w:val="00FB2578"/>
    <w:rsid w:val="00FB29F8"/>
    <w:rsid w:val="00FB37E9"/>
    <w:rsid w:val="00FB4BBB"/>
    <w:rsid w:val="00FB4F23"/>
    <w:rsid w:val="00FC5D1F"/>
    <w:rsid w:val="00FD2599"/>
    <w:rsid w:val="00FD6B3A"/>
    <w:rsid w:val="00FD7E6E"/>
    <w:rsid w:val="00FE10BD"/>
    <w:rsid w:val="00FE24E4"/>
    <w:rsid w:val="00FF3742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98583"/>
  <w15:docId w15:val="{996ED0B2-896F-4EC2-8FC7-7911CCA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167"/>
    <w:rPr>
      <w:sz w:val="24"/>
      <w:szCs w:val="24"/>
    </w:rPr>
  </w:style>
  <w:style w:type="paragraph" w:styleId="Heading1">
    <w:name w:val="heading 1"/>
    <w:basedOn w:val="Normal"/>
    <w:next w:val="Normal"/>
    <w:qFormat/>
    <w:rsid w:val="00F17167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171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1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F17167"/>
    <w:rPr>
      <w:rFonts w:cs="Arial"/>
      <w:sz w:val="20"/>
    </w:rPr>
  </w:style>
  <w:style w:type="paragraph" w:styleId="BodyText2">
    <w:name w:val="Body Text 2"/>
    <w:basedOn w:val="Normal"/>
    <w:link w:val="BodyText2Char"/>
    <w:semiHidden/>
    <w:rsid w:val="00F17167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3B5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FA13B5"/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D3EF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2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264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E33852"/>
    <w:rPr>
      <w:rFonts w:cs="Arial"/>
      <w:szCs w:val="24"/>
    </w:rPr>
  </w:style>
  <w:style w:type="paragraph" w:styleId="Revision">
    <w:name w:val="Revision"/>
    <w:hidden/>
    <w:uiPriority w:val="99"/>
    <w:semiHidden/>
    <w:rsid w:val="00BA49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Operations%20Team\NQC\MMBPIS\MMBPIS%2024\Excel%20for%20Bd%20Rept%20FY24%20Q1-Q4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vr1\Operations%20Team\NQC\MMBPIS\MMBPIS%2024\Excel%20for%20Bd%20Rept%20FY24%20Q1-Q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Operations%20Team\NQC\MMBPIS\MMBPIS%2024\Excel%20for%20Bd%20Rept%20FY24%20Q1-Q4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vr1\Operations%20Team\NQC\MMBPIS\MMBPIS%2024\Excel%20for%20Bd%20Rept%20FY24%20Q1-Q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ilesvr1\Operations%20Team\NQC\MMBPIS\MMBPIS%2024\Excel%20for%20Bd%20Rept%20FY24%20Q1-Q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Operations%20Team\NQC\MMBPIS\MMBPIS%2024\Excel%20for%20Bd%20Rept%20FY24%20Q1-Q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vr1\Operations%20Team\NQC\MMBPIS\MMBPIS%2024\Excel%20for%20Bd%20Rept%20FY24%20Q1-Q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Chart 2.2</a:t>
            </a:r>
            <a:r>
              <a:rPr lang="en-US" baseline="0"/>
              <a:t> </a:t>
            </a:r>
            <a:r>
              <a:rPr lang="en-US"/>
              <a:t>Percent</a:t>
            </a:r>
            <a:r>
              <a:rPr lang="en-US" baseline="0"/>
              <a:t> of Individuals who were not assessed in 14 days, by reason</a:t>
            </a:r>
            <a:endParaRPr lang="en-US"/>
          </a:p>
        </c:rich>
      </c:tx>
      <c:layout>
        <c:manualLayout>
          <c:xMode val="edge"/>
          <c:yMode val="edge"/>
          <c:x val="0.11433349609612004"/>
          <c:y val="7.336616230181258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33581023551719"/>
          <c:y val="0.31089844538663697"/>
          <c:w val="0.87667675084402075"/>
          <c:h val="0.3509623623477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2a, T2 Req to IA'!$I$4</c:f>
              <c:strCache>
                <c:ptCount val="1"/>
                <c:pt idx="0">
                  <c:v>1st Qtr</c:v>
                </c:pt>
              </c:strCache>
            </c:strRef>
          </c:tx>
          <c:spPr>
            <a:solidFill>
              <a:srgbClr val="FFCC99"/>
            </a:solidFill>
            <a:ln w="12700" cmpd="sng">
              <a:solidFill>
                <a:sysClr val="windowText" lastClr="000000"/>
              </a:solidFill>
              <a:prstDash val="solid"/>
            </a:ln>
          </c:spPr>
          <c:invertIfNegative val="0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529901671412753E-2"/>
                      <c:h val="7.527936253477297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745-4000-9DCA-CF919B46000A}"/>
                </c:ext>
              </c:extLst>
            </c:dLbl>
            <c:dLbl>
              <c:idx val="3"/>
              <c:spPr/>
              <c:txPr>
                <a:bodyPr rot="-5400000" vert="horz"/>
                <a:lstStyle/>
                <a:p>
                  <a:pPr>
                    <a:defRPr sz="700"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745-4000-9DCA-CF919B46000A}"/>
                </c:ext>
              </c:extLst>
            </c:dLbl>
            <c:spPr>
              <a:solidFill>
                <a:srgbClr val="FFFFFF">
                  <a:alpha val="0"/>
                </a:srgbClr>
              </a:solidFill>
              <a:ln w="25400">
                <a:noFill/>
              </a:ln>
            </c:spPr>
            <c:txPr>
              <a:bodyPr rot="-5400000" vert="horz" anchor="ctr" anchorCtr="0"/>
              <a:lstStyle/>
              <a:p>
                <a:pPr algn="ctr">
                  <a:defRPr sz="700" b="0" i="0" u="none" strike="noStrike" baseline="0">
                    <a:ln>
                      <a:noFill/>
                    </a:ln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2a, T2 Req to IA'!$J$3:$M$3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error/System issue</c:v>
                </c:pt>
                <c:pt idx="3">
                  <c:v>Other</c:v>
                </c:pt>
              </c:strCache>
            </c:strRef>
          </c:cat>
          <c:val>
            <c:numRef>
              <c:f>'Ind 2a, T2 Req to IA'!$J$4:$M$4</c:f>
              <c:numCache>
                <c:formatCode>0%</c:formatCode>
                <c:ptCount val="4"/>
                <c:pt idx="0">
                  <c:v>1.8518518518518517E-2</c:v>
                </c:pt>
                <c:pt idx="1">
                  <c:v>0.28703703703703703</c:v>
                </c:pt>
                <c:pt idx="2">
                  <c:v>6.4814814814814811E-2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45-4000-9DCA-CF919B46000A}"/>
            </c:ext>
          </c:extLst>
        </c:ser>
        <c:ser>
          <c:idx val="1"/>
          <c:order val="1"/>
          <c:tx>
            <c:strRef>
              <c:f>'Ind 2a, T2 Req to IA'!$I$5</c:f>
              <c:strCache>
                <c:ptCount val="1"/>
                <c:pt idx="0">
                  <c:v>2nd Qtr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Overflow="overflow" horzOverflow="overflow" vert="horz" wrap="none">
                <a:spAutoFit/>
              </a:bodyPr>
              <a:lstStyle/>
              <a:p>
                <a:pPr algn="ctr"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'Ind 2a, T2 Req to IA'!$J$3:$M$3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error/System issue</c:v>
                </c:pt>
                <c:pt idx="3">
                  <c:v>Other</c:v>
                </c:pt>
              </c:strCache>
            </c:strRef>
          </c:cat>
          <c:val>
            <c:numRef>
              <c:f>'Ind 2a, T2 Req to IA'!$J$5:$M$5</c:f>
              <c:numCache>
                <c:formatCode>0%</c:formatCode>
                <c:ptCount val="4"/>
                <c:pt idx="0">
                  <c:v>0.11258278145695365</c:v>
                </c:pt>
                <c:pt idx="1">
                  <c:v>0.10596026490066225</c:v>
                </c:pt>
                <c:pt idx="2">
                  <c:v>0.12582781456953643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45-4000-9DCA-CF919B46000A}"/>
            </c:ext>
          </c:extLst>
        </c:ser>
        <c:ser>
          <c:idx val="2"/>
          <c:order val="2"/>
          <c:tx>
            <c:strRef>
              <c:f>'Ind 2a, T2 Req to IA'!$I$6</c:f>
              <c:strCache>
                <c:ptCount val="1"/>
                <c:pt idx="0">
                  <c:v>3rd Qtr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2a, T2 Req to IA'!$J$3:$M$3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error/System issue</c:v>
                </c:pt>
                <c:pt idx="3">
                  <c:v>Other</c:v>
                </c:pt>
              </c:strCache>
            </c:strRef>
          </c:cat>
          <c:val>
            <c:numRef>
              <c:f>'Ind 2a, T2 Req to IA'!$J$6:$M$6</c:f>
              <c:numCache>
                <c:formatCode>0%</c:formatCode>
                <c:ptCount val="4"/>
                <c:pt idx="0">
                  <c:v>0.18269230769230768</c:v>
                </c:pt>
                <c:pt idx="1">
                  <c:v>9.6153846153846159E-2</c:v>
                </c:pt>
                <c:pt idx="2">
                  <c:v>0.13461538461538461</c:v>
                </c:pt>
                <c:pt idx="3">
                  <c:v>2.8846153846153848E-2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45-4000-9DCA-CF919B46000A}"/>
            </c:ext>
          </c:extLst>
        </c:ser>
        <c:ser>
          <c:idx val="3"/>
          <c:order val="3"/>
          <c:tx>
            <c:strRef>
              <c:f>'Ind 2a, T2 Req to IA'!$I$7</c:f>
              <c:strCache>
                <c:ptCount val="1"/>
                <c:pt idx="0">
                  <c:v>4th Qtr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2a, T2 Req to IA'!$J$3:$M$3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error/System issue</c:v>
                </c:pt>
                <c:pt idx="3">
                  <c:v>Other</c:v>
                </c:pt>
              </c:strCache>
            </c:strRef>
          </c:cat>
          <c:val>
            <c:numRef>
              <c:f>'Ind 2a, T2 Req to IA'!$J$7:$M$7</c:f>
              <c:numCache>
                <c:formatCode>0%</c:formatCode>
                <c:ptCount val="4"/>
                <c:pt idx="0">
                  <c:v>0.31182795698924731</c:v>
                </c:pt>
                <c:pt idx="1">
                  <c:v>5.3763440860215055E-2</c:v>
                </c:pt>
                <c:pt idx="2">
                  <c:v>0.19354838709677419</c:v>
                </c:pt>
                <c:pt idx="3">
                  <c:v>1.0752688172043012E-2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45-4000-9DCA-CF919B46000A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14"/>
        <c:axId val="424286320"/>
        <c:axId val="424287104"/>
      </c:barChart>
      <c:catAx>
        <c:axId val="42428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24287104"/>
        <c:crossesAt val="0"/>
        <c:auto val="1"/>
        <c:lblAlgn val="ctr"/>
        <c:lblOffset val="100"/>
        <c:noMultiLvlLbl val="0"/>
      </c:catAx>
      <c:valAx>
        <c:axId val="424287104"/>
        <c:scaling>
          <c:orientation val="minMax"/>
          <c:max val="0.5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24286320"/>
        <c:crosses val="autoZero"/>
        <c:crossBetween val="between"/>
        <c:majorUnit val="0.25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7573034951045409E-2"/>
          <c:y val="0.76540536103959111"/>
          <c:w val="0.93737543201158346"/>
          <c:h val="0.1212651628005958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Chart 2.1 Percent of Individuals assessed in 14 days</a:t>
            </a:r>
          </a:p>
        </c:rich>
      </c:tx>
      <c:layout>
        <c:manualLayout>
          <c:xMode val="edge"/>
          <c:yMode val="edge"/>
          <c:x val="0.12430078168225182"/>
          <c:y val="0.1294280409592824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933581023551719"/>
          <c:y val="0.31089844538663697"/>
          <c:w val="0.87667675084402075"/>
          <c:h val="0.3509623623477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2a, T2 Req to IA'!$B$2</c:f>
              <c:strCache>
                <c:ptCount val="1"/>
                <c:pt idx="0">
                  <c:v>Percent in compliance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7.5382901100118375E-17"/>
                  <c:y val="0.161516285874101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89-400D-808C-190E4C9766A8}"/>
                </c:ext>
              </c:extLst>
            </c:dLbl>
            <c:dLbl>
              <c:idx val="3"/>
              <c:layout>
                <c:manualLayout>
                  <c:x val="-1.5076580220023675E-16"/>
                  <c:y val="0.161878146379243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89-400D-808C-190E4C9766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2a, T2 Req to IA'!$A$3:$A$6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'Ind 2a, T2 Req to IA'!$B$3:$B$6</c:f>
              <c:numCache>
                <c:formatCode>0.0%</c:formatCode>
                <c:ptCount val="4"/>
                <c:pt idx="0">
                  <c:v>0.53700000000000003</c:v>
                </c:pt>
                <c:pt idx="1">
                  <c:v>0.54969999999999997</c:v>
                </c:pt>
                <c:pt idx="2">
                  <c:v>0.41349999999999998</c:v>
                </c:pt>
                <c:pt idx="3">
                  <c:v>0.43009999999999998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35-4D56-86F3-90084E872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424286320"/>
        <c:axId val="424287104"/>
      </c:barChart>
      <c:lineChart>
        <c:grouping val="standard"/>
        <c:varyColors val="0"/>
        <c:ser>
          <c:idx val="1"/>
          <c:order val="1"/>
          <c:tx>
            <c:strRef>
              <c:f>'Ind 2a, T2 Req to IA'!$C$2</c:f>
              <c:strCache>
                <c:ptCount val="1"/>
                <c:pt idx="0">
                  <c:v>Low target 56.39%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'Ind 2a, T2 Req to IA'!$A$3:$A$6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'Ind 2a, T2 Req to IA'!$C$3:$C$6</c:f>
              <c:numCache>
                <c:formatCode>0.00%</c:formatCode>
                <c:ptCount val="4"/>
                <c:pt idx="0">
                  <c:v>0.56389999999999996</c:v>
                </c:pt>
                <c:pt idx="1">
                  <c:v>0.56389999999999996</c:v>
                </c:pt>
                <c:pt idx="2">
                  <c:v>0.56389999999999996</c:v>
                </c:pt>
                <c:pt idx="3">
                  <c:v>0.56389999999999996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735-4D56-86F3-90084E872DC9}"/>
            </c:ext>
          </c:extLst>
        </c:ser>
        <c:ser>
          <c:idx val="2"/>
          <c:order val="2"/>
          <c:tx>
            <c:strRef>
              <c:f>'Ind 2a, T2 Req to IA'!$D$2</c:f>
              <c:strCache>
                <c:ptCount val="1"/>
                <c:pt idx="0">
                  <c:v>High target 62.08%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'Ind 2a, T2 Req to IA'!$A$3:$A$6</c:f>
              <c:strCache>
                <c:ptCount val="4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</c:strCache>
            </c:strRef>
          </c:cat>
          <c:val>
            <c:numRef>
              <c:f>'Ind 2a, T2 Req to IA'!$D$3:$D$6</c:f>
              <c:numCache>
                <c:formatCode>0.00%</c:formatCode>
                <c:ptCount val="4"/>
                <c:pt idx="0">
                  <c:v>0.62080000000000002</c:v>
                </c:pt>
                <c:pt idx="1">
                  <c:v>0.62080000000000002</c:v>
                </c:pt>
                <c:pt idx="2">
                  <c:v>0.62080000000000002</c:v>
                </c:pt>
                <c:pt idx="3">
                  <c:v>0.62080000000000002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735-4D56-86F3-90084E872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286320"/>
        <c:axId val="424287104"/>
      </c:lineChart>
      <c:catAx>
        <c:axId val="42428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87104"/>
        <c:crossesAt val="0"/>
        <c:auto val="1"/>
        <c:lblAlgn val="ctr"/>
        <c:lblOffset val="100"/>
        <c:noMultiLvlLbl val="0"/>
      </c:catAx>
      <c:valAx>
        <c:axId val="42428710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86320"/>
        <c:crosses val="autoZero"/>
        <c:crossBetween val="between"/>
        <c:majorUnit val="0.25"/>
        <c:minorUnit val="0.0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151226359613628E-2"/>
          <c:y val="0.75669445630204124"/>
          <c:w val="0.862583598962817"/>
          <c:h val="0.1645900258552028"/>
        </c:manualLayout>
      </c:layout>
      <c:overlay val="0"/>
      <c:spPr>
        <a:noFill/>
        <a:ln>
          <a:solidFill>
            <a:sysClr val="windowText" lastClr="00000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Chart 3.2 Percent</a:t>
            </a:r>
            <a:r>
              <a:rPr lang="en-US" baseline="0"/>
              <a:t> of Individuals who did not start ongoing care in 14 days, by reason</a:t>
            </a:r>
            <a:endParaRPr lang="en-US"/>
          </a:p>
        </c:rich>
      </c:tx>
      <c:layout>
        <c:manualLayout>
          <c:xMode val="edge"/>
          <c:yMode val="edge"/>
          <c:x val="0.14729563820296734"/>
          <c:y val="7.859088780765058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33581023551719"/>
          <c:y val="0.31089844538663697"/>
          <c:w val="0.87667675084402075"/>
          <c:h val="0.3509623623477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3, T3 Assess to Care'!$H$5</c:f>
              <c:strCache>
                <c:ptCount val="1"/>
                <c:pt idx="0">
                  <c:v>1st Qtr</c:v>
                </c:pt>
              </c:strCache>
            </c:strRef>
          </c:tx>
          <c:spPr>
            <a:solidFill>
              <a:srgbClr val="FFCC99"/>
            </a:solidFill>
            <a:ln w="12700" cmpd="sng">
              <a:solidFill>
                <a:sysClr val="windowText" lastClr="000000"/>
              </a:solidFill>
              <a:prstDash val="solid"/>
            </a:ln>
          </c:spPr>
          <c:invertIfNegative val="0"/>
          <c:dLbls>
            <c:dLbl>
              <c:idx val="3"/>
              <c:spPr>
                <a:noFill/>
              </c:spPr>
              <c:txPr>
                <a:bodyPr rot="-5400000" vert="horz"/>
                <a:lstStyle/>
                <a:p>
                  <a:pPr>
                    <a:defRPr sz="700"/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6B8-485C-97F2-8FA6068B7E26}"/>
                </c:ext>
              </c:extLst>
            </c:dLbl>
            <c:spPr>
              <a:noFill/>
              <a:ln w="25400">
                <a:noFill/>
              </a:ln>
            </c:spPr>
            <c:txPr>
              <a:bodyPr rot="-5400000" vert="horz" anchor="ctr" anchorCtr="0"/>
              <a:lstStyle/>
              <a:p>
                <a:pPr algn="ctr">
                  <a:defRPr sz="700" b="0" i="0" u="none" strike="noStrike" baseline="0">
                    <a:ln>
                      <a:noFill/>
                    </a:ln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3, T3 Assess to Care'!$I$4:$L$4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</c:v>
                </c:pt>
                <c:pt idx="3">
                  <c:v>Other</c:v>
                </c:pt>
              </c:strCache>
            </c:strRef>
          </c:cat>
          <c:val>
            <c:numRef>
              <c:f>'Ind 3, T3 Assess to Care'!$I$5:$L$5</c:f>
              <c:numCache>
                <c:formatCode>0%</c:formatCode>
                <c:ptCount val="4"/>
                <c:pt idx="0">
                  <c:v>5.4054054054054057E-2</c:v>
                </c:pt>
                <c:pt idx="1">
                  <c:v>8.1081081081081086E-2</c:v>
                </c:pt>
                <c:pt idx="2">
                  <c:v>9.0090090090090086E-2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8-485C-97F2-8FA6068B7E26}"/>
            </c:ext>
          </c:extLst>
        </c:ser>
        <c:ser>
          <c:idx val="1"/>
          <c:order val="1"/>
          <c:tx>
            <c:strRef>
              <c:f>'Ind 3, T3 Assess to Care'!$H$6</c:f>
              <c:strCache>
                <c:ptCount val="1"/>
                <c:pt idx="0">
                  <c:v>2nd Qtr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6.2953845777393792E-17"/>
                  <c:y val="0.1204582630693065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B8-485C-97F2-8FA6068B7E26}"/>
                </c:ext>
              </c:extLst>
            </c:dLbl>
            <c:spPr>
              <a:noFill/>
              <a:ln w="25400">
                <a:noFill/>
              </a:ln>
            </c:spPr>
            <c:txPr>
              <a:bodyPr rot="-5400000" vertOverflow="overflow" horzOverflow="overflow" vert="horz" wrap="none">
                <a:spAutoFit/>
              </a:bodyPr>
              <a:lstStyle/>
              <a:p>
                <a:pPr algn="ctr"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'Ind 3, T3 Assess to Care'!$I$4:$L$4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</c:v>
                </c:pt>
                <c:pt idx="3">
                  <c:v>Other</c:v>
                </c:pt>
              </c:strCache>
            </c:strRef>
          </c:cat>
          <c:val>
            <c:numRef>
              <c:f>'Ind 3, T3 Assess to Care'!$I$6:$L$6</c:f>
              <c:numCache>
                <c:formatCode>0%</c:formatCode>
                <c:ptCount val="4"/>
                <c:pt idx="0">
                  <c:v>2.7027027027027029E-2</c:v>
                </c:pt>
                <c:pt idx="1">
                  <c:v>0.16216216216216217</c:v>
                </c:pt>
                <c:pt idx="2">
                  <c:v>3.3783783783783786E-2</c:v>
                </c:pt>
                <c:pt idx="3">
                  <c:v>8.1081081081081086E-2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6B8-485C-97F2-8FA6068B7E26}"/>
            </c:ext>
          </c:extLst>
        </c:ser>
        <c:ser>
          <c:idx val="2"/>
          <c:order val="2"/>
          <c:tx>
            <c:strRef>
              <c:f>'Ind 3, T3 Assess to Care'!$H$7</c:f>
              <c:strCache>
                <c:ptCount val="1"/>
                <c:pt idx="0">
                  <c:v>3rd Qtr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6.2953845777393792E-17"/>
                  <c:y val="0.130496451658415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B8-485C-97F2-8FA6068B7E26}"/>
                </c:ext>
              </c:extLst>
            </c:dLbl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3, T3 Assess to Care'!$I$4:$L$4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</c:v>
                </c:pt>
                <c:pt idx="3">
                  <c:v>Other</c:v>
                </c:pt>
              </c:strCache>
            </c:strRef>
          </c:cat>
          <c:val>
            <c:numRef>
              <c:f>'Ind 3, T3 Assess to Care'!$I$7:$L$7</c:f>
              <c:numCache>
                <c:formatCode>0%</c:formatCode>
                <c:ptCount val="4"/>
                <c:pt idx="0">
                  <c:v>1.5151515151515152E-2</c:v>
                </c:pt>
                <c:pt idx="1">
                  <c:v>0.18181818181818182</c:v>
                </c:pt>
                <c:pt idx="2">
                  <c:v>7.575757575757576E-2</c:v>
                </c:pt>
                <c:pt idx="3">
                  <c:v>7.575757575757576E-3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6B8-485C-97F2-8FA6068B7E26}"/>
            </c:ext>
          </c:extLst>
        </c:ser>
        <c:ser>
          <c:idx val="3"/>
          <c:order val="3"/>
          <c:tx>
            <c:strRef>
              <c:f>'Ind 3, T3 Assess to Care'!$H$8</c:f>
              <c:strCache>
                <c:ptCount val="1"/>
                <c:pt idx="0">
                  <c:v>4th Qtr</c:v>
                </c:pt>
              </c:strCache>
            </c:strRef>
          </c:tx>
          <c:spPr>
            <a:solidFill>
              <a:srgbClr val="99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1476922888696896E-17"/>
                  <c:y val="2.5095471472772204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7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B8-485C-97F2-8FA6068B7E26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 algn="ctr"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3, T3 Assess to Care'!$I$4:$L$4</c:f>
              <c:strCache>
                <c:ptCount val="4"/>
                <c:pt idx="0">
                  <c:v>Client choice</c:v>
                </c:pt>
                <c:pt idx="1">
                  <c:v>Client no show, cancel, or reschedule</c:v>
                </c:pt>
                <c:pt idx="2">
                  <c:v>Staff error</c:v>
                </c:pt>
                <c:pt idx="3">
                  <c:v>Other</c:v>
                </c:pt>
              </c:strCache>
            </c:strRef>
          </c:cat>
          <c:val>
            <c:numRef>
              <c:f>'Ind 3, T3 Assess to Care'!$I$8:$L$8</c:f>
              <c:numCache>
                <c:formatCode>0%</c:formatCode>
                <c:ptCount val="4"/>
                <c:pt idx="0">
                  <c:v>0.10169491525423729</c:v>
                </c:pt>
                <c:pt idx="1">
                  <c:v>9.3220338983050849E-2</c:v>
                </c:pt>
                <c:pt idx="2">
                  <c:v>5.0847457627118647E-2</c:v>
                </c:pt>
                <c:pt idx="3">
                  <c:v>3.3898305084745763E-2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6B8-485C-97F2-8FA6068B7E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4"/>
        <c:axId val="424286320"/>
        <c:axId val="424287104"/>
      </c:barChart>
      <c:catAx>
        <c:axId val="42428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24287104"/>
        <c:crossesAt val="0"/>
        <c:auto val="1"/>
        <c:lblAlgn val="ctr"/>
        <c:lblOffset val="100"/>
        <c:noMultiLvlLbl val="0"/>
      </c:catAx>
      <c:valAx>
        <c:axId val="424287104"/>
        <c:scaling>
          <c:orientation val="minMax"/>
          <c:max val="0.5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24286320"/>
        <c:crosses val="autoZero"/>
        <c:crossBetween val="between"/>
        <c:majorUnit val="0.25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9217768815080652E-2"/>
          <c:y val="0.82432210754061153"/>
          <c:w val="0.93737543201158346"/>
          <c:h val="0.1212651628005958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Chart 3.1 Timeliness from Assessment to Start of Care</a:t>
            </a:r>
          </a:p>
        </c:rich>
      </c:tx>
      <c:layout>
        <c:manualLayout>
          <c:xMode val="edge"/>
          <c:yMode val="edge"/>
          <c:x val="0.13383344762582733"/>
          <c:y val="7.88483921199970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933581023551719"/>
          <c:y val="0.31089844538663697"/>
          <c:w val="0.87667675084402075"/>
          <c:h val="0.3509623623477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3, T3 Assess to Care'!$B$3</c:f>
              <c:strCache>
                <c:ptCount val="1"/>
                <c:pt idx="0">
                  <c:v>Percent in compliance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rgbClr val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3, T3 Assess to Care'!$A$4:$A$7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3, T3 Assess to Care'!$B$4:$B$7</c:f>
              <c:numCache>
                <c:formatCode>0.0%</c:formatCode>
                <c:ptCount val="4"/>
                <c:pt idx="0">
                  <c:v>0.64</c:v>
                </c:pt>
                <c:pt idx="1">
                  <c:v>0.64190000000000003</c:v>
                </c:pt>
                <c:pt idx="2">
                  <c:v>0.70450000000000002</c:v>
                </c:pt>
                <c:pt idx="3">
                  <c:v>0.72030000000000005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B2-483F-9B44-4EBC29411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424286320"/>
        <c:axId val="424287104"/>
      </c:barChart>
      <c:lineChart>
        <c:grouping val="standard"/>
        <c:varyColors val="0"/>
        <c:ser>
          <c:idx val="1"/>
          <c:order val="1"/>
          <c:tx>
            <c:strRef>
              <c:f>'Ind 3, T3 Assess to Care'!$C$3</c:f>
              <c:strCache>
                <c:ptCount val="1"/>
                <c:pt idx="0">
                  <c:v>Low target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'Ind 3, T3 Assess to Care'!$A$4:$A$7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3, T3 Assess to Care'!$C$4:$C$7</c:f>
              <c:numCache>
                <c:formatCode>0.00%</c:formatCode>
                <c:ptCount val="4"/>
                <c:pt idx="0">
                  <c:v>0.72850000000000004</c:v>
                </c:pt>
                <c:pt idx="1">
                  <c:v>0.72850000000000004</c:v>
                </c:pt>
                <c:pt idx="2">
                  <c:v>0.72850000000000004</c:v>
                </c:pt>
                <c:pt idx="3">
                  <c:v>0.72850000000000004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B2-483F-9B44-4EBC294115DB}"/>
            </c:ext>
          </c:extLst>
        </c:ser>
        <c:ser>
          <c:idx val="2"/>
          <c:order val="2"/>
          <c:tx>
            <c:strRef>
              <c:f>'Ind 3, T3 Assess to Care'!$D$3</c:f>
              <c:strCache>
                <c:ptCount val="1"/>
                <c:pt idx="0">
                  <c:v>High target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'Ind 3, T3 Assess to Care'!$A$4:$A$7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3, T3 Assess to Care'!$D$4:$D$7</c:f>
              <c:numCache>
                <c:formatCode>0.00%</c:formatCode>
                <c:ptCount val="4"/>
                <c:pt idx="0">
                  <c:v>0.84660000000000002</c:v>
                </c:pt>
                <c:pt idx="1">
                  <c:v>0.84660000000000002</c:v>
                </c:pt>
                <c:pt idx="2">
                  <c:v>0.84660000000000002</c:v>
                </c:pt>
                <c:pt idx="3">
                  <c:v>0.84660000000000002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8B2-483F-9B44-4EBC294115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286320"/>
        <c:axId val="424287104"/>
      </c:lineChart>
      <c:catAx>
        <c:axId val="42428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87104"/>
        <c:crossesAt val="0"/>
        <c:auto val="1"/>
        <c:lblAlgn val="ctr"/>
        <c:lblOffset val="100"/>
        <c:noMultiLvlLbl val="0"/>
      </c:catAx>
      <c:valAx>
        <c:axId val="424287104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4286320"/>
        <c:crosses val="autoZero"/>
        <c:crossBetween val="between"/>
        <c:majorUnit val="0.25"/>
        <c:minorUnit val="0.0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325213355924856"/>
          <c:y val="0.77872706118576607"/>
          <c:w val="0.56529655050876826"/>
          <c:h val="0.18718156780424727"/>
        </c:manualLayout>
      </c:layout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i="0" baseline="0">
                <a:latin typeface="Arial" pitchFamily="34" charset="0"/>
                <a:cs typeface="Arial" pitchFamily="34" charset="0"/>
              </a:rPr>
              <a:t>Percentage of Inpatient Screenings                                                Completed within 3 Hours or Less</a:t>
            </a:r>
            <a:endParaRPr lang="en-US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2531634690029944"/>
          <c:y val="0.27880817223428689"/>
          <c:w val="0.81687842684585965"/>
          <c:h val="0.412257828236586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1, T1 Timel Inpt Scr'!$B$3</c:f>
              <c:strCache>
                <c:ptCount val="1"/>
                <c:pt idx="0">
                  <c:v>Children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Arial Narrow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1, T1 Timel Inpt Scr'!$A$4:$A$7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1, T1 Timel Inpt Scr'!$B$4:$B$7</c:f>
              <c:numCache>
                <c:formatCode>0%</c:formatCode>
                <c:ptCount val="4"/>
                <c:pt idx="0">
                  <c:v>0.92110000000000003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DB-401A-9FDF-4F09B7A48162}"/>
            </c:ext>
          </c:extLst>
        </c:ser>
        <c:ser>
          <c:idx val="1"/>
          <c:order val="1"/>
          <c:tx>
            <c:strRef>
              <c:f>'Ind 1, T1 Timel Inpt Scr'!$C$3</c:f>
              <c:strCache>
                <c:ptCount val="1"/>
                <c:pt idx="0">
                  <c:v>Adults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>
                    <a:latin typeface="Arial Narrow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1, T1 Timel Inpt Scr'!$A$4:$A$7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1, T1 Timel Inpt Scr'!$C$4:$C$7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0.98480000000000001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DB-401A-9FDF-4F09B7A48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288672"/>
        <c:axId val="424288280"/>
      </c:barChart>
      <c:lineChart>
        <c:grouping val="standard"/>
        <c:varyColors val="0"/>
        <c:ser>
          <c:idx val="2"/>
          <c:order val="2"/>
          <c:tx>
            <c:strRef>
              <c:f>'Ind 1, T1 Timel Inpt Scr'!$D$3</c:f>
              <c:strCache>
                <c:ptCount val="1"/>
                <c:pt idx="0">
                  <c:v>Standard=95%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'Ind 1, T1 Timel Inpt Scr'!$A$4:$A$7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1, T1 Timel Inpt Scr'!$D$4:$D$7</c:f>
              <c:numCache>
                <c:formatCode>0%</c:formatCode>
                <c:ptCount val="4"/>
                <c:pt idx="0">
                  <c:v>0.95</c:v>
                </c:pt>
                <c:pt idx="1">
                  <c:v>0.95</c:v>
                </c:pt>
                <c:pt idx="2">
                  <c:v>0.95</c:v>
                </c:pt>
                <c:pt idx="3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DB-401A-9FDF-4F09B7A48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288672"/>
        <c:axId val="424288280"/>
      </c:lineChart>
      <c:catAx>
        <c:axId val="42428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aseline="0"/>
            </a:pPr>
            <a:endParaRPr lang="en-US"/>
          </a:p>
        </c:txPr>
        <c:crossAx val="424288280"/>
        <c:crosses val="autoZero"/>
        <c:auto val="1"/>
        <c:lblAlgn val="ctr"/>
        <c:lblOffset val="100"/>
        <c:noMultiLvlLbl val="0"/>
      </c:catAx>
      <c:valAx>
        <c:axId val="424288280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424288672"/>
        <c:crosses val="autoZero"/>
        <c:crossBetween val="between"/>
        <c:majorUnit val="0.25"/>
      </c:valAx>
      <c:spPr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8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800"/>
            </a:pPr>
            <a:endParaRPr lang="en-US"/>
          </a:p>
        </c:txPr>
      </c:legendEntry>
      <c:layout>
        <c:manualLayout>
          <c:xMode val="edge"/>
          <c:yMode val="edge"/>
          <c:x val="7.2830570246381093E-2"/>
          <c:y val="0.80292350543723645"/>
          <c:w val="0.80866450171676696"/>
          <c:h val="0.1152129241475910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200"/>
              <a:t>Percentage of Persons Discharged from Inpatient seen within 7 Days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846003584590293"/>
          <c:y val="0.28000000000000008"/>
          <c:w val="0.82674883030925506"/>
          <c:h val="0.481894646890069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4a, T4a FU after Hosp'!$B$3</c:f>
              <c:strCache>
                <c:ptCount val="1"/>
                <c:pt idx="0">
                  <c:v>Children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rgbClr val="000000"/>
              </a:solidFill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C02-4FB7-A123-03443622A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4a, T4a FU after Hosp'!$A$4:$A$7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4a, T4a FU after Hosp'!$B$4:$B$7</c:f>
              <c:numCache>
                <c:formatCode>0.0%</c:formatCode>
                <c:ptCount val="4"/>
                <c:pt idx="0">
                  <c:v>1</c:v>
                </c:pt>
                <c:pt idx="1">
                  <c:v>0.92859999999999998</c:v>
                </c:pt>
                <c:pt idx="2" formatCode="0%">
                  <c:v>1</c:v>
                </c:pt>
                <c:pt idx="3" formatCode="0%">
                  <c:v>0.88890000000000002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02-4FB7-A123-03443622A51D}"/>
            </c:ext>
          </c:extLst>
        </c:ser>
        <c:ser>
          <c:idx val="1"/>
          <c:order val="1"/>
          <c:tx>
            <c:strRef>
              <c:f>'Ind 4a, T4a FU after Hosp'!$C$3</c:f>
              <c:strCache>
                <c:ptCount val="1"/>
                <c:pt idx="0">
                  <c:v>Adults</c:v>
                </c:pt>
              </c:strCache>
            </c:strRef>
          </c:tx>
          <c:spPr>
            <a:solidFill>
              <a:srgbClr val="0DC0FF"/>
            </a:solidFill>
            <a:ln>
              <a:solidFill>
                <a:srgbClr val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800"/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4a, T4a FU after Hosp'!$A$4:$A$7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4a, T4a FU after Hosp'!$C$4:$C$7</c:f>
              <c:numCache>
                <c:formatCode>0.0%</c:formatCode>
                <c:ptCount val="4"/>
                <c:pt idx="0">
                  <c:v>1</c:v>
                </c:pt>
                <c:pt idx="1">
                  <c:v>0.96430000000000005</c:v>
                </c:pt>
                <c:pt idx="2" formatCode="0%">
                  <c:v>0.9677</c:v>
                </c:pt>
                <c:pt idx="3" formatCode="0.00%">
                  <c:v>0.92589999999999995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02-4FB7-A123-03443622A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286712"/>
        <c:axId val="424289064"/>
      </c:barChart>
      <c:lineChart>
        <c:grouping val="standard"/>
        <c:varyColors val="0"/>
        <c:ser>
          <c:idx val="2"/>
          <c:order val="2"/>
          <c:tx>
            <c:strRef>
              <c:f>'Ind 4a, T4a FU after Hosp'!$D$3</c:f>
              <c:strCache>
                <c:ptCount val="1"/>
                <c:pt idx="0">
                  <c:v>Standard=95%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'Ind 4a, T4a FU after Hosp'!$A$4:$A$7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4a, T4a FU after Hosp'!$D$4:$D$7</c:f>
              <c:numCache>
                <c:formatCode>0%</c:formatCode>
                <c:ptCount val="4"/>
                <c:pt idx="0">
                  <c:v>0.95</c:v>
                </c:pt>
                <c:pt idx="1">
                  <c:v>0.95</c:v>
                </c:pt>
                <c:pt idx="2">
                  <c:v>0.95</c:v>
                </c:pt>
                <c:pt idx="3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C02-4FB7-A123-03443622A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286712"/>
        <c:axId val="424289064"/>
      </c:lineChart>
      <c:catAx>
        <c:axId val="424286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24289064"/>
        <c:crosses val="autoZero"/>
        <c:auto val="1"/>
        <c:lblAlgn val="ctr"/>
        <c:lblOffset val="100"/>
        <c:noMultiLvlLbl val="0"/>
      </c:catAx>
      <c:valAx>
        <c:axId val="424289064"/>
        <c:scaling>
          <c:orientation val="minMax"/>
          <c:max val="1"/>
          <c:min val="0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424286712"/>
        <c:crosses val="autoZero"/>
        <c:crossBetween val="between"/>
        <c:majorUnit val="0.25"/>
      </c:valAx>
      <c:spPr>
        <a:noFill/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en-US"/>
          </a:p>
        </c:txPr>
      </c:legendEntry>
      <c:layout>
        <c:manualLayout>
          <c:xMode val="edge"/>
          <c:yMode val="edge"/>
          <c:x val="0.14852797871810738"/>
          <c:y val="0.86364215967256963"/>
          <c:w val="0.78695612623251265"/>
          <c:h val="9.4509235363811561E-2"/>
        </c:manualLayout>
      </c:layout>
      <c:overlay val="0"/>
      <c:spPr>
        <a:ln>
          <a:solidFill>
            <a:srgbClr val="000000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Percentage of Discharges Readmitted to                                       Inpatient within 30 Days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406747758642753"/>
          <c:y val="0.2758685447725564"/>
          <c:w val="0.83728661398788584"/>
          <c:h val="0.38996518787301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'Ind 10, T6 DC Readmit w-in 30 d'!$B$3</c:f>
              <c:strCache>
                <c:ptCount val="1"/>
                <c:pt idx="0">
                  <c:v>Children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rgbClr val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3.5822539090288028E-3"/>
                  <c:y val="1.82022067688020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29-451D-A524-7989D088FC21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29-451D-A524-7989D088FC21}"/>
                </c:ext>
              </c:extLst>
            </c:dLbl>
            <c:dLbl>
              <c:idx val="2"/>
              <c:layout>
                <c:manualLayout>
                  <c:x val="-3.5822539090289342E-3"/>
                  <c:y val="2.29772880651032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29-451D-A524-7989D088FC21}"/>
                </c:ext>
              </c:extLst>
            </c:dLbl>
            <c:dLbl>
              <c:idx val="3"/>
              <c:layout>
                <c:manualLayout>
                  <c:x val="3.5822539090288028E-3"/>
                  <c:y val="-2.68164040988560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29-451D-A524-7989D088FC21}"/>
                </c:ext>
              </c:extLst>
            </c:dLbl>
            <c:spPr>
              <a:noFill/>
              <a:ln w="9525">
                <a:noFill/>
              </a:ln>
            </c:spPr>
            <c:txPr>
              <a:bodyPr rot="-5400000" vert="horz"/>
              <a:lstStyle/>
              <a:p>
                <a:pPr>
                  <a:defRPr sz="700">
                    <a:latin typeface="Arial Narrow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10, T6 DC Readmit w-in 30 d'!$A$4:$A$7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10, T6 DC Readmit w-in 30 d'!$B$4:$B$7</c:f>
              <c:numCache>
                <c:formatCode>0%</c:formatCode>
                <c:ptCount val="4"/>
                <c:pt idx="0">
                  <c:v>0</c:v>
                </c:pt>
                <c:pt idx="1">
                  <c:v>0.1875</c:v>
                </c:pt>
                <c:pt idx="2">
                  <c:v>0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29-451D-A524-7989D088FC21}"/>
            </c:ext>
          </c:extLst>
        </c:ser>
        <c:ser>
          <c:idx val="1"/>
          <c:order val="1"/>
          <c:tx>
            <c:strRef>
              <c:f>'Ind 10, T6 DC Readmit w-in 30 d'!$C$3</c:f>
              <c:strCache>
                <c:ptCount val="1"/>
                <c:pt idx="0">
                  <c:v>Adults</c:v>
                </c:pt>
              </c:strCache>
            </c:strRef>
          </c:tx>
          <c:spPr>
            <a:solidFill>
              <a:srgbClr val="0DC0FF"/>
            </a:solidFill>
            <a:ln>
              <a:solidFill>
                <a:schemeClr val="tx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DC0FF"/>
              </a:solidFill>
              <a:ln>
                <a:solidFill>
                  <a:schemeClr val="tx1">
                    <a:alpha val="87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6-0629-451D-A524-7989D088FC2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629-451D-A524-7989D088FC21}"/>
              </c:ext>
            </c:extLst>
          </c:dPt>
          <c:dLbls>
            <c:dLbl>
              <c:idx val="1"/>
              <c:layout>
                <c:manualLayout>
                  <c:x val="3.5822539090288028E-3"/>
                  <c:y val="-4.32049389708975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29-451D-A524-7989D088FC21}"/>
                </c:ext>
              </c:extLst>
            </c:dLbl>
            <c:dLbl>
              <c:idx val="3"/>
              <c:layout>
                <c:manualLayout>
                  <c:x val="0"/>
                  <c:y val="-4.320493897089747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629-451D-A524-7989D088FC21}"/>
                </c:ext>
              </c:extLst>
            </c:dLbl>
            <c:numFmt formatCode="0%" sourceLinked="0"/>
            <c:spPr>
              <a:noFill/>
              <a:ln w="6350">
                <a:noFill/>
              </a:ln>
            </c:spPr>
            <c:txPr>
              <a:bodyPr rot="-5400000" vert="horz"/>
              <a:lstStyle/>
              <a:p>
                <a:pPr>
                  <a:defRPr sz="700">
                    <a:latin typeface="Arial Narrow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'Ind 10, T6 DC Readmit w-in 30 d'!$A$4:$A$7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10, T6 DC Readmit w-in 30 d'!$C$4:$C$7</c:f>
              <c:numCache>
                <c:formatCode>0%</c:formatCode>
                <c:ptCount val="4"/>
                <c:pt idx="0">
                  <c:v>0.2</c:v>
                </c:pt>
                <c:pt idx="1">
                  <c:v>9.3799999999999994E-2</c:v>
                </c:pt>
                <c:pt idx="2">
                  <c:v>0.21049999999999999</c:v>
                </c:pt>
                <c:pt idx="3">
                  <c:v>8.8200000000000001E-2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629-451D-A524-7989D088FC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40"/>
        <c:axId val="424282008"/>
        <c:axId val="424283576"/>
      </c:barChart>
      <c:lineChart>
        <c:grouping val="standard"/>
        <c:varyColors val="0"/>
        <c:ser>
          <c:idx val="2"/>
          <c:order val="2"/>
          <c:tx>
            <c:strRef>
              <c:f>'Ind 10, T6 DC Readmit w-in 30 d'!$D$3</c:f>
              <c:strCache>
                <c:ptCount val="1"/>
                <c:pt idx="0">
                  <c:v>Standard=15%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'Ind 10, T6 DC Readmit w-in 30 d'!$A$4:$A$7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'Ind 10, T6 DC Readmit w-in 30 d'!$D$4:$D$7</c:f>
              <c:numCache>
                <c:formatCode>0%</c:formatCode>
                <c:ptCount val="4"/>
                <c:pt idx="0">
                  <c:v>0.15</c:v>
                </c:pt>
                <c:pt idx="1">
                  <c:v>0.15</c:v>
                </c:pt>
                <c:pt idx="2">
                  <c:v>0.15</c:v>
                </c:pt>
                <c:pt idx="3">
                  <c:v>0.15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0629-451D-A524-7989D088F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4282008"/>
        <c:axId val="424283576"/>
      </c:lineChart>
      <c:catAx>
        <c:axId val="424282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424283576"/>
        <c:crosses val="autoZero"/>
        <c:auto val="1"/>
        <c:lblAlgn val="ctr"/>
        <c:lblOffset val="100"/>
        <c:noMultiLvlLbl val="0"/>
      </c:catAx>
      <c:valAx>
        <c:axId val="424283576"/>
        <c:scaling>
          <c:orientation val="minMax"/>
          <c:max val="0.60000000000000009"/>
        </c:scaling>
        <c:delete val="0"/>
        <c:axPos val="l"/>
        <c:majorGridlines>
          <c:spPr>
            <a:ln w="3175"/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424282008"/>
        <c:crosses val="autoZero"/>
        <c:crossBetween val="between"/>
        <c:majorUnit val="0.1"/>
      </c:valAx>
    </c:plotArea>
    <c:legend>
      <c:legendPos val="b"/>
      <c:layout>
        <c:manualLayout>
          <c:xMode val="edge"/>
          <c:yMode val="edge"/>
          <c:x val="0.14309192968029469"/>
          <c:y val="0.82955108350946716"/>
          <c:w val="0.77309823583430248"/>
          <c:h val="9.4448567454700275E-2"/>
        </c:manualLayout>
      </c:layout>
      <c:overlay val="0"/>
      <c:spPr>
        <a:ln>
          <a:solidFill>
            <a:srgbClr val="000000"/>
          </a:solidFill>
        </a:ln>
      </c:spPr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0.08672</cdr:x>
      <cdr:y>0.85529</cdr:y>
    </cdr:from>
    <cdr:to>
      <cdr:x>0.41533</cdr:x>
      <cdr:y>0.95941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3509" y="1679377"/>
          <a:ext cx="1187960" cy="2044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4BE6-8E3B-4EA3-92AF-552CB54D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WMCMHS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cherir</dc:creator>
  <cp:lastModifiedBy>Reed-Henry, Betsy</cp:lastModifiedBy>
  <cp:revision>10</cp:revision>
  <cp:lastPrinted>2024-07-03T12:11:00Z</cp:lastPrinted>
  <dcterms:created xsi:type="dcterms:W3CDTF">2024-10-04T12:53:00Z</dcterms:created>
  <dcterms:modified xsi:type="dcterms:W3CDTF">2025-03-23T18:14:00Z</dcterms:modified>
</cp:coreProperties>
</file>